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rFonts w:ascii="Microsoft YaHei" w:cs="Microsoft YaHei" w:eastAsia="Microsoft YaHei" w:hAnsi="Microsoft YaHei"/>
          <w:b/>
          <w:bCs/>
          <w:color w:val="009B95"/>
          <w:spacing w:val="120"/>
          <w:sz w:val="22"/>
          <w:szCs w:val="22"/>
        </w:rPr>
        <w:t xml:space="preserve">BIOGNOSYS iRT KIT</w:t>
      </w:r>
    </w:p>
    <w:p>
      <w:pPr>
        <w:spacing w:after="140"/>
        <w:jc w:val="center"/>
      </w:pPr>
      <w:r>
        <w:rPr>
          <w:rFonts w:ascii="Microsoft YaHei" w:cs="Microsoft YaHei" w:eastAsia="Microsoft YaHei" w:hAnsi="Microsoft YaHei"/>
          <w:b/>
          <w:bCs/>
          <w:color w:val="07334C"/>
          <w:sz w:val="42"/>
          <w:szCs w:val="42"/>
        </w:rPr>
        <w:t xml:space="preserve">中文使用与资料说明</w:t>
      </w:r>
    </w:p>
    <w:p>
      <w:pPr>
        <w:spacing w:after="220" w:line="330"/>
        <w:jc w:val="center"/>
      </w:pPr>
      <w:r>
        <w:rPr>
          <w:rFonts w:ascii="Microsoft YaHei" w:cs="Microsoft YaHei" w:eastAsia="Microsoft YaHei" w:hAnsi="Microsoft YaHei"/>
          <w:color w:val="0B6FAE"/>
          <w:sz w:val="23"/>
          <w:szCs w:val="23"/>
        </w:rPr>
        <w:t xml:space="preserve">保留时间归一化 · LC-MS 质量控制 · DIA / PRM / MRM 方法支持</w:t>
      </w:r>
    </w:p>
    <w:p>
      <w:pPr>
        <w:spacing w:after="220"/>
        <w:jc w:val="center"/>
      </w:pPr>
      <w:r>
        <w:drawing>
          <wp:inline distT="0" distB="0" distL="0" distR="0">
            <wp:extent cx="5048250" cy="3600450"/>
            <wp:effectExtent t="0" r="0" b="0" l="0"/>
            <wp:docPr id="1" name="Biognosys 2x iRT Kit" descr="Biognosys 2x iRT Kit 产品图" title="Biognosys 2x iRT K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2CC" w:val="clear"/>
            <w:tcMar>
              <w:top w:type="dxa" w:w="150"/>
              <w:left w:type="dxa" w:w="180"/>
              <w:bottom w:type="dxa" w:w="150"/>
              <w:right w:type="dxa" w:w="18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color w:val="07334C"/>
                <w:sz w:val="20"/>
                <w:szCs w:val="20"/>
              </w:rPr>
              <w:t xml:space="preserve">资料版本：2026-08-27。中文内容依据 Biognosys 官方快速参考卡、产品说明、SDS、参考表、进样量计算器、QuiC 手册及易算公众号历史教程整合。安全数据部分为中文摘要，不替代原厂 SDS、实验室化学品 SOP 或当地法规。</w:t>
            </w:r>
          </w:p>
        </w:tc>
      </w:tr>
    </w:tbl>
    <w:p>
      <w:pPr>
        <w:pStyle w:val="Heading1"/>
        <w:spacing w:after="150" w:before="320"/>
      </w:pPr>
      <w:r>
        <w:rPr>
          <w:rFonts w:ascii="Microsoft YaHei" w:cs="Microsoft YaHei" w:eastAsia="Microsoft YaHei" w:hAnsi="Microsoft YaHei"/>
          <w:b/>
          <w:bCs/>
          <w:color w:val="07334C"/>
          <w:sz w:val="30"/>
          <w:szCs w:val="30"/>
        </w:rPr>
        <w:t xml:space="preserve">1. 产品定位</w:t>
      </w:r>
    </w:p>
    <w:p>
      <w:pPr>
        <w:spacing w:after="150" w:line="330"/>
      </w:pPr>
      <w:r>
        <w:rPr>
          <w:rFonts w:ascii="Microsoft YaHei" w:cs="Microsoft YaHei" w:eastAsia="Microsoft YaHei" w:hAnsi="Microsoft YaHei"/>
          <w:color w:val="203646"/>
          <w:sz w:val="22"/>
          <w:szCs w:val="22"/>
        </w:rPr>
        <w:t xml:space="preserve">iRT（indexed Retention Time，索引保留时间）是相对于 iRT 标准定义的无量纲肽段保留时间。与某次梯度中的绝对 RT 不同，iRT 值用于把不同色谱条件下的保留时间映射到同一标尺，并在实际分析时由校准关系转换回预期 RT。</w:t>
      </w:r>
    </w:p>
    <w:p>
      <w:pPr>
        <w:spacing w:after="150" w:line="330"/>
      </w:pPr>
      <w:r>
        <w:rPr>
          <w:rFonts w:ascii="Microsoft YaHei" w:cs="Microsoft YaHei" w:eastAsia="Microsoft YaHei" w:hAnsi="Microsoft YaHei"/>
          <w:color w:val="203646"/>
          <w:sz w:val="22"/>
          <w:szCs w:val="22"/>
        </w:rPr>
        <w:t xml:space="preserve">Biognosys iRT Kit 提供 11 条非天然合成肽的混合标准。官方资料将其用于保留时间归一化、LC-MS 长期质量控制，以及 DIA、PRM、MRM 和 shotgun 工作流中的 RT-iRT 换算。</w:t>
      </w:r>
    </w:p>
    <w:p>
      <w:pPr>
        <w:pStyle w:val="ListParagraph"/>
        <w:numPr>
          <w:ilvl w:val="0"/>
          <w:numId w:val="2"/>
        </w:numPr>
        <w:spacing w:after="90" w:line="310"/>
      </w:pPr>
      <w:r>
        <w:rPr>
          <w:rFonts w:ascii="Microsoft YaHei" w:cs="Microsoft YaHei" w:eastAsia="Microsoft YaHei" w:hAnsi="Microsoft YaHei"/>
          <w:color w:val="203646"/>
          <w:sz w:val="21"/>
          <w:szCs w:val="21"/>
        </w:rPr>
        <w:t xml:space="preserve">Spectronaut：在 DIA / 谱图库工作流中使用 iRT 进行保留时间校准和提取窗口定位。</w:t>
      </w:r>
    </w:p>
    <w:p>
      <w:pPr>
        <w:pStyle w:val="ListParagraph"/>
        <w:numPr>
          <w:ilvl w:val="0"/>
          <w:numId w:val="2"/>
        </w:numPr>
        <w:spacing w:after="90" w:line="310"/>
      </w:pPr>
      <w:r>
        <w:rPr>
          <w:rFonts w:ascii="Microsoft YaHei" w:cs="Microsoft YaHei" w:eastAsia="Microsoft YaHei" w:hAnsi="Microsoft YaHei"/>
          <w:color w:val="203646"/>
          <w:sz w:val="21"/>
          <w:szCs w:val="21"/>
        </w:rPr>
        <w:t xml:space="preserve">SpectroDive：用于 scheduled PRM/MRM 方法的 RT calibration，并可对 panel 的 iRT 进行 refinement。</w:t>
      </w:r>
    </w:p>
    <w:p>
      <w:pPr>
        <w:pStyle w:val="ListParagraph"/>
        <w:numPr>
          <w:ilvl w:val="0"/>
          <w:numId w:val="2"/>
        </w:numPr>
        <w:spacing w:after="90" w:line="310"/>
      </w:pPr>
      <w:r>
        <w:rPr>
          <w:rFonts w:ascii="Microsoft YaHei" w:cs="Microsoft YaHei" w:eastAsia="Microsoft YaHei" w:hAnsi="Microsoft YaHei"/>
          <w:color w:val="203646"/>
          <w:sz w:val="21"/>
          <w:szCs w:val="21"/>
        </w:rPr>
        <w:t xml:space="preserve">QuiC：从加标 iRT 肽的 QC 样本中自动提取 RT、iRT、Delta RT 等质量指标。</w:t>
      </w:r>
    </w:p>
    <w:p>
      <w:pPr>
        <w:pStyle w:val="Heading1"/>
        <w:spacing w:after="150" w:before="320"/>
      </w:pPr>
      <w:r>
        <w:rPr>
          <w:rFonts w:ascii="Microsoft YaHei" w:cs="Microsoft YaHei" w:eastAsia="Microsoft YaHei" w:hAnsi="Microsoft YaHei"/>
          <w:b/>
          <w:bCs/>
          <w:color w:val="07334C"/>
          <w:sz w:val="30"/>
          <w:szCs w:val="30"/>
        </w:rPr>
        <w:t xml:space="preserve">2. 包装与版本边界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500"/>
      </w:tblGrid>
      <w:tr>
        <w:tc>
          <w:tcPr>
            <w:tcW w:type="dxa" w:w="25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07334C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9"/>
                <w:szCs w:val="19"/>
              </w:rPr>
              <w:t xml:space="preserve">资料项</w:t>
            </w:r>
          </w:p>
        </w:tc>
        <w:tc>
          <w:tcPr>
            <w:tcW w:type="dxa" w:w="65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07334C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9"/>
                <w:szCs w:val="19"/>
              </w:rPr>
              <w:t xml:space="preserve">依据与说明</w:t>
            </w:r>
          </w:p>
        </w:tc>
      </w:tr>
      <w:tr>
        <w:tc>
          <w:tcPr>
            <w:tcW w:type="dxa" w:w="25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EAF4F7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color w:val="203646"/>
                <w:sz w:val="19"/>
                <w:szCs w:val="19"/>
              </w:rPr>
              <w:t xml:space="preserve">iRT Standard</w:t>
            </w:r>
          </w:p>
        </w:tc>
        <w:tc>
          <w:tcPr>
            <w:tcW w:type="dxa" w:w="65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11 条稳定、非天然合成肽的混合物，沿色谱梯度分布。</w:t>
            </w:r>
          </w:p>
        </w:tc>
      </w:tr>
      <w:tr>
        <w:tc>
          <w:tcPr>
            <w:tcW w:type="dxa" w:w="25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EAF4F7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color w:val="203646"/>
                <w:sz w:val="19"/>
                <w:szCs w:val="19"/>
              </w:rPr>
              <w:t xml:space="preserve">Dissolution Buffer</w:t>
            </w:r>
          </w:p>
        </w:tc>
        <w:tc>
          <w:tcPr>
            <w:tcW w:type="dxa" w:w="65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用于复溶 iRT Standard；常规版和 2x 版快速参考卡均给出 50 μL 复溶步骤。</w:t>
            </w:r>
          </w:p>
        </w:tc>
      </w:tr>
      <w:tr>
        <w:tc>
          <w:tcPr>
            <w:tcW w:type="dxa" w:w="25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EAF4F7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color w:val="203646"/>
                <w:sz w:val="19"/>
                <w:szCs w:val="19"/>
              </w:rPr>
              <w:t xml:space="preserve">2x 包装</w:t>
            </w:r>
          </w:p>
        </w:tc>
        <w:tc>
          <w:tcPr>
            <w:tcW w:type="dxa" w:w="65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官方 2x 快速参考卡描述为 2 份 Dissolution Buffer 与 2 份 iRT Standard。</w:t>
            </w:r>
          </w:p>
        </w:tc>
      </w:tr>
      <w:tr>
        <w:tc>
          <w:tcPr>
            <w:tcW w:type="dxa" w:w="25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EAF4F7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color w:val="203646"/>
                <w:sz w:val="19"/>
                <w:szCs w:val="19"/>
              </w:rPr>
              <w:t xml:space="preserve">新一代配方</w:t>
            </w:r>
          </w:p>
        </w:tc>
        <w:tc>
          <w:tcPr>
            <w:tcW w:type="dxa" w:w="65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肽段序列、工作理念和流程保持不变；信号平衡性提高，并采用 AAA 定量以支持定量型 QC。</w:t>
            </w:r>
          </w:p>
        </w:tc>
      </w:tr>
      <w:tr>
        <w:tc>
          <w:tcPr>
            <w:tcW w:type="dxa" w:w="25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EAF4F7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color w:val="203646"/>
                <w:sz w:val="19"/>
                <w:szCs w:val="19"/>
              </w:rPr>
              <w:t xml:space="preserve">采购状态</w:t>
            </w:r>
          </w:p>
        </w:tc>
        <w:tc>
          <w:tcPr>
            <w:tcW w:type="dxa" w:w="65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Biognosys 旧商店页目前返回 404；静态官方资料仍可访问。实际货号、库存与供货状态请向易算销售核实。</w:t>
            </w:r>
          </w:p>
        </w:tc>
      </w:tr>
    </w:tbl>
    <w:p>
      <w:pPr>
        <w:pStyle w:val="Heading1"/>
        <w:spacing w:after="150" w:before="320"/>
      </w:pPr>
      <w:r>
        <w:rPr>
          <w:rFonts w:ascii="Microsoft YaHei" w:cs="Microsoft YaHei" w:eastAsia="Microsoft YaHei" w:hAnsi="Microsoft YaHei"/>
          <w:b/>
          <w:bCs/>
          <w:color w:val="07334C"/>
          <w:sz w:val="30"/>
          <w:szCs w:val="30"/>
        </w:rPr>
        <w:t xml:space="preserve">3. 快速使用流程</w:t>
      </w:r>
    </w:p>
    <w:p>
      <w:pPr>
        <w:pStyle w:val="ListParagraph"/>
        <w:numPr>
          <w:ilvl w:val="0"/>
          <w:numId w:val="3"/>
        </w:numPr>
        <w:spacing w:after="100" w:line="310"/>
      </w:pPr>
      <w:r>
        <w:rPr>
          <w:rFonts w:ascii="Microsoft YaHei" w:cs="Microsoft YaHei" w:eastAsia="Microsoft YaHei" w:hAnsi="Microsoft YaHei"/>
          <w:color w:val="203646"/>
          <w:sz w:val="21"/>
          <w:szCs w:val="21"/>
        </w:rPr>
        <w:t xml:space="preserve">将 50 μL Dissolution Buffer 加入 iRT Standard 管。充分涡旋混匀；条件允许时超声 5 分钟。所得溶液为 10× iRT Standard。</w:t>
      </w:r>
    </w:p>
    <w:p>
      <w:pPr>
        <w:pStyle w:val="ListParagraph"/>
        <w:numPr>
          <w:ilvl w:val="0"/>
          <w:numId w:val="3"/>
        </w:numPr>
        <w:spacing w:after="100" w:line="310"/>
      </w:pPr>
      <w:r>
        <w:rPr>
          <w:rFonts w:ascii="Microsoft YaHei" w:cs="Microsoft YaHei" w:eastAsia="Microsoft YaHei" w:hAnsi="Microsoft YaHei"/>
          <w:color w:val="203646"/>
          <w:sz w:val="21"/>
          <w:szCs w:val="21"/>
        </w:rPr>
        <w:t xml:space="preserve">10× iRT Standard 在 2-8 °C 保存，并在 12 周内使用。分装和冻融次数应纳入实验室记录。</w:t>
      </w:r>
    </w:p>
    <w:p>
      <w:pPr>
        <w:pStyle w:val="ListParagraph"/>
        <w:numPr>
          <w:ilvl w:val="0"/>
          <w:numId w:val="3"/>
        </w:numPr>
        <w:spacing w:after="100" w:line="310"/>
      </w:pPr>
      <w:r>
        <w:rPr>
          <w:rFonts w:ascii="Microsoft YaHei" w:cs="Microsoft YaHei" w:eastAsia="Microsoft YaHei" w:hAnsi="Microsoft YaHei"/>
          <w:color w:val="203646"/>
          <w:sz w:val="21"/>
          <w:szCs w:val="21"/>
        </w:rPr>
        <w:t xml:space="preserve">将 10× 标准肽混合液按 1:10 加入已完成前处理、可直接进样的肽段样品。纳流 LC 场景下，官方计算器按每次实际进样包含 1 个进样当量（IE）设计。</w:t>
      </w:r>
    </w:p>
    <w:p>
      <w:pPr>
        <w:pStyle w:val="ListParagraph"/>
        <w:numPr>
          <w:ilvl w:val="0"/>
          <w:numId w:val="3"/>
        </w:numPr>
        <w:spacing w:after="100" w:line="310"/>
      </w:pPr>
      <w:r>
        <w:rPr>
          <w:rFonts w:ascii="Microsoft YaHei" w:cs="Microsoft YaHei" w:eastAsia="Microsoft YaHei" w:hAnsi="Microsoft YaHei"/>
          <w:color w:val="203646"/>
          <w:sz w:val="21"/>
          <w:szCs w:val="21"/>
        </w:rPr>
        <w:t xml:space="preserve">MRM/PRM：把 iRT 肽的 precursor / transition 加入采集方法；shotgun：把 iRT FASTA 加入检索数据库。</w:t>
      </w:r>
    </w:p>
    <w:p>
      <w:pPr>
        <w:pStyle w:val="ListParagraph"/>
        <w:numPr>
          <w:ilvl w:val="0"/>
          <w:numId w:val="3"/>
        </w:numPr>
        <w:spacing w:after="100" w:line="310"/>
      </w:pPr>
      <w:r>
        <w:rPr>
          <w:rFonts w:ascii="Microsoft YaHei" w:cs="Microsoft YaHei" w:eastAsia="Microsoft YaHei" w:hAnsi="Microsoft YaHei"/>
          <w:color w:val="203646"/>
          <w:sz w:val="21"/>
          <w:szCs w:val="21"/>
        </w:rPr>
        <w:t xml:space="preserve">采集后由 Spectronaut、SpectroDive、QuiC 或经过验证的软件执行 RT-iRT 换算。不要仅凭是否检出全部 11 条肽判断校准成功。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2CC" w:val="clear"/>
            <w:tcMar>
              <w:top w:type="dxa" w:w="150"/>
              <w:left w:type="dxa" w:w="180"/>
              <w:bottom w:type="dxa" w:w="150"/>
              <w:right w:type="dxa" w:w="18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color w:val="07334C"/>
                <w:sz w:val="20"/>
                <w:szCs w:val="20"/>
              </w:rPr>
              <w:t xml:space="preserve">中国版快速参考卡另有一步：开始前向 Dissolution Buffer 管加入 20 μL 乙腈（CAS 75-05-8）。乙腈属于危险化学品，必须遵守实验室通风橱、个体防护、废液和 SDS 要求。不同包装版本请以随货标签和对应快速参考卡为准。</w:t>
            </w:r>
          </w:p>
        </w:tc>
      </w:tr>
    </w:tbl>
    <w:p>
      <w:pPr>
        <w:pStyle w:val="Heading1"/>
        <w:spacing w:after="150" w:before="320"/>
      </w:pPr>
      <w:r>
        <w:rPr>
          <w:rFonts w:ascii="Microsoft YaHei" w:cs="Microsoft YaHei" w:eastAsia="Microsoft YaHei" w:hAnsi="Microsoft YaHei"/>
          <w:b/>
          <w:bCs/>
          <w:color w:val="07334C"/>
          <w:sz w:val="30"/>
          <w:szCs w:val="30"/>
        </w:rPr>
        <w:t xml:space="preserve">4. 进样量计算</w:t>
      </w:r>
    </w:p>
    <w:p>
      <w:pPr>
        <w:spacing w:after="150" w:line="330"/>
      </w:pPr>
      <w:r>
        <w:rPr>
          <w:rFonts w:ascii="Microsoft YaHei" w:cs="Microsoft YaHei" w:eastAsia="Microsoft YaHei" w:hAnsi="Microsoft YaHei"/>
          <w:color w:val="203646"/>
          <w:sz w:val="22"/>
          <w:szCs w:val="22"/>
        </w:rPr>
        <w:t xml:space="preserve">官方进样量计算器说明：纳流 LC 条件下一管 iRT Standard 含 500 个进样当量；用 50 μL 缓冲液复溶后得到 10 IE/μL 的 10× 标准液。因此每次进样使用 0.1 μL 10× iRT，可提供 1 IE。样品体积有限时，可先配成 1× 标准液后再按比例使用。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500"/>
      </w:tblGrid>
      <w:tr>
        <w:tc>
          <w:tcPr>
            <w:tcW w:type="dxa" w:w="25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07334C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9"/>
                <w:szCs w:val="19"/>
              </w:rPr>
              <w:t xml:space="preserve">计算项</w:t>
            </w:r>
          </w:p>
        </w:tc>
        <w:tc>
          <w:tcPr>
            <w:tcW w:type="dxa" w:w="65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07334C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9"/>
                <w:szCs w:val="19"/>
              </w:rPr>
              <w:t xml:space="preserve">示例（单次总进样体积 2.0 μL）</w:t>
            </w:r>
          </w:p>
        </w:tc>
      </w:tr>
      <w:tr>
        <w:tc>
          <w:tcPr>
            <w:tcW w:type="dxa" w:w="25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EAF4F7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color w:val="203646"/>
                <w:sz w:val="19"/>
                <w:szCs w:val="19"/>
              </w:rPr>
              <w:t xml:space="preserve">10× iRT Standard</w:t>
            </w:r>
          </w:p>
        </w:tc>
        <w:tc>
          <w:tcPr>
            <w:tcW w:type="dxa" w:w="65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0.1 μL</w:t>
            </w:r>
          </w:p>
        </w:tc>
      </w:tr>
      <w:tr>
        <w:tc>
          <w:tcPr>
            <w:tcW w:type="dxa" w:w="25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EAF4F7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color w:val="203646"/>
                <w:sz w:val="19"/>
                <w:szCs w:val="19"/>
              </w:rPr>
              <w:t xml:space="preserve">样品</w:t>
            </w:r>
          </w:p>
        </w:tc>
        <w:tc>
          <w:tcPr>
            <w:tcW w:type="dxa" w:w="65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1.9 μL</w:t>
            </w:r>
          </w:p>
        </w:tc>
      </w:tr>
      <w:tr>
        <w:tc>
          <w:tcPr>
            <w:tcW w:type="dxa" w:w="25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EAF4F7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color w:val="203646"/>
                <w:sz w:val="19"/>
                <w:szCs w:val="19"/>
              </w:rPr>
              <w:t xml:space="preserve">10 次进样</w:t>
            </w:r>
          </w:p>
        </w:tc>
        <w:tc>
          <w:tcPr>
            <w:tcW w:type="dxa" w:w="65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1.0 μL 10× iRT + 19.0 μL 样品</w:t>
            </w:r>
          </w:p>
        </w:tc>
      </w:tr>
    </w:tbl>
    <w:p>
      <w:pPr>
        <w:spacing w:after="80"/>
      </w:pPr>
      <w:hyperlink w:history="1" r:id="rIdplegh5qo7tqst1qpc6a26">
        <w:r>
          <w:rPr>
            <w:rStyle w:val="Hyperlink"/>
            <w:rFonts w:ascii="Microsoft YaHei" w:cs="Microsoft YaHei" w:eastAsia="Microsoft YaHei" w:hAnsi="Microsoft YaHei"/>
            <w:sz w:val="20"/>
            <w:szCs w:val="20"/>
          </w:rPr>
          <w:t xml:space="preserve">下载：iRT 进样量计算器（中文）</w:t>
        </w:r>
      </w:hyperlink>
    </w:p>
    <w:p>
      <w:pPr>
        <w:pStyle w:val="Heading1"/>
        <w:spacing w:after="150" w:before="320"/>
      </w:pPr>
      <w:r>
        <w:rPr>
          <w:rFonts w:ascii="Microsoft YaHei" w:cs="Microsoft YaHei" w:eastAsia="Microsoft YaHei" w:hAnsi="Microsoft YaHei"/>
          <w:b/>
          <w:bCs/>
          <w:color w:val="07334C"/>
          <w:sz w:val="30"/>
          <w:szCs w:val="30"/>
        </w:rPr>
        <w:t xml:space="preserve">5. 采集与软件设置</w:t>
      </w:r>
    </w:p>
    <w:p>
      <w:pPr>
        <w:pStyle w:val="ListParagraph"/>
        <w:numPr>
          <w:ilvl w:val="0"/>
          <w:numId w:val="2"/>
        </w:numPr>
        <w:spacing w:after="90" w:line="310"/>
      </w:pPr>
      <w:r>
        <w:rPr>
          <w:rFonts w:ascii="Microsoft YaHei" w:cs="Microsoft YaHei" w:eastAsia="Microsoft YaHei" w:hAnsi="Microsoft YaHei"/>
          <w:color w:val="203646"/>
          <w:sz w:val="21"/>
          <w:szCs w:val="21"/>
        </w:rPr>
        <w:t xml:space="preserve">DDA/DIA：将随附 iRT FASTA 合并或追加到检索数据库；在软件中确认 iRT 参考肽识别策略和保留时间校准模型。</w:t>
      </w:r>
    </w:p>
    <w:p>
      <w:pPr>
        <w:pStyle w:val="ListParagraph"/>
        <w:numPr>
          <w:ilvl w:val="0"/>
          <w:numId w:val="2"/>
        </w:numPr>
        <w:spacing w:after="90" w:line="310"/>
      </w:pPr>
      <w:r>
        <w:rPr>
          <w:rFonts w:ascii="Microsoft YaHei" w:cs="Microsoft YaHei" w:eastAsia="Microsoft YaHei" w:hAnsi="Microsoft YaHei"/>
          <w:color w:val="203646"/>
          <w:sz w:val="21"/>
          <w:szCs w:val="21"/>
        </w:rPr>
        <w:t xml:space="preserve">MRM/PRM：使用官方 reference sheet 中的 Q1/Q3、碎片离子类型和相对强度作为方法起点，并按具体仪器与碰撞能重新核验。</w:t>
      </w:r>
    </w:p>
    <w:p>
      <w:pPr>
        <w:pStyle w:val="ListParagraph"/>
        <w:numPr>
          <w:ilvl w:val="0"/>
          <w:numId w:val="2"/>
        </w:numPr>
        <w:spacing w:after="90" w:line="310"/>
      </w:pPr>
      <w:r>
        <w:rPr>
          <w:rFonts w:ascii="Microsoft YaHei" w:cs="Microsoft YaHei" w:eastAsia="Microsoft YaHei" w:hAnsi="Microsoft YaHei"/>
          <w:color w:val="203646"/>
          <w:sz w:val="21"/>
          <w:szCs w:val="21"/>
        </w:rPr>
        <w:t xml:space="preserve">SpectroDive scheduled method：用专门采集的 RT calibration run，或使用同一色谱条件下的谱图库校准；软件支持线性和非线性梯度。</w:t>
      </w:r>
    </w:p>
    <w:p>
      <w:pPr>
        <w:pStyle w:val="ListParagraph"/>
        <w:numPr>
          <w:ilvl w:val="0"/>
          <w:numId w:val="2"/>
        </w:numPr>
        <w:spacing w:after="90" w:line="310"/>
      </w:pPr>
      <w:r>
        <w:rPr>
          <w:rFonts w:ascii="Microsoft YaHei" w:cs="Microsoft YaHei" w:eastAsia="Microsoft YaHei" w:hAnsi="Microsoft YaHei"/>
          <w:color w:val="203646"/>
          <w:sz w:val="21"/>
          <w:szCs w:val="21"/>
        </w:rPr>
        <w:t xml:space="preserve">SpectroDive iRT refinement：先导出 iRT Refinement 运行类型并采集较宽窗口数据，分析后只对人工接受的肽执行 Refine iRT，再提交 panel 变更。</w:t>
      </w:r>
    </w:p>
    <w:p>
      <w:pPr>
        <w:pStyle w:val="ListParagraph"/>
        <w:numPr>
          <w:ilvl w:val="0"/>
          <w:numId w:val="2"/>
        </w:numPr>
        <w:spacing w:after="90" w:line="310"/>
      </w:pPr>
      <w:r>
        <w:rPr>
          <w:rFonts w:ascii="Microsoft YaHei" w:cs="Microsoft YaHei" w:eastAsia="Microsoft YaHei" w:hAnsi="Microsoft YaHei"/>
          <w:color w:val="203646"/>
          <w:sz w:val="21"/>
          <w:szCs w:val="21"/>
        </w:rPr>
        <w:t xml:space="preserve">QuiC：DDA 和 DIA 还需 FASTA 或谱图库；MRM/PRM 只需 iRT Kit 文件。谱图库检索通常比 FASTA 检索更快。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EAF4F7" w:val="clear"/>
            <w:tcMar>
              <w:top w:type="dxa" w:w="150"/>
              <w:left w:type="dxa" w:w="180"/>
              <w:bottom w:type="dxa" w:w="150"/>
              <w:right w:type="dxa" w:w="18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color w:val="07334C"/>
                <w:sz w:val="20"/>
                <w:szCs w:val="20"/>
              </w:rPr>
              <w:t xml:space="preserve">公众号旧教程中的 Spectronaut X、Spectronaut 13 和 SpectroDive 10 界面只用于理解原理。当前操作应以已安装软件版本的正式手册为准；本资料不把旧界面步骤当作当前唯一流程。</w:t>
            </w:r>
          </w:p>
        </w:tc>
      </w:tr>
    </w:tbl>
    <w:p>
      <w:pPr>
        <w:pStyle w:val="Heading1"/>
        <w:spacing w:after="150" w:before="320"/>
      </w:pPr>
      <w:r>
        <w:rPr>
          <w:rFonts w:ascii="Microsoft YaHei" w:cs="Microsoft YaHei" w:eastAsia="Microsoft YaHei" w:hAnsi="Microsoft YaHei"/>
          <w:b/>
          <w:bCs/>
          <w:color w:val="07334C"/>
          <w:sz w:val="30"/>
          <w:szCs w:val="30"/>
        </w:rPr>
        <w:t xml:space="preserve">6. 11 条参考肽与标准 iRT</w:t>
      </w:r>
    </w:p>
    <w:p>
      <w:pPr>
        <w:spacing w:after="150" w:line="330"/>
      </w:pPr>
      <w:r>
        <w:rPr>
          <w:rFonts w:ascii="Microsoft YaHei" w:cs="Microsoft YaHei" w:eastAsia="Microsoft YaHei" w:hAnsi="Microsoft YaHei"/>
          <w:color w:val="203646"/>
          <w:sz w:val="22"/>
          <w:szCs w:val="22"/>
        </w:rPr>
        <w:t xml:space="preserve">下表来自 Biognosys 官方 iRT Kit Reference Sheet。Q1 与标准 iRT 保留到三位小数供阅读；方法导入与计算请使用可下载的原始表或中文工作簿中的完整精度。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400"/>
        <w:gridCol w:w="2200"/>
        <w:gridCol w:w="2700"/>
      </w:tblGrid>
      <w:tr>
        <w:tc>
          <w:tcPr>
            <w:tcW w:type="dxa" w:w="7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07334C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9"/>
                <w:szCs w:val="19"/>
              </w:rPr>
              <w:t xml:space="preserve">序号</w:t>
            </w:r>
          </w:p>
        </w:tc>
        <w:tc>
          <w:tcPr>
            <w:tcW w:type="dxa" w:w="34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07334C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9"/>
                <w:szCs w:val="19"/>
              </w:rPr>
              <w:t xml:space="preserve">肽段序列</w:t>
            </w:r>
          </w:p>
        </w:tc>
        <w:tc>
          <w:tcPr>
            <w:tcW w:type="dxa" w:w="22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07334C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9"/>
                <w:szCs w:val="19"/>
              </w:rPr>
              <w:t xml:space="preserve">Q1</w:t>
            </w:r>
          </w:p>
        </w:tc>
        <w:tc>
          <w:tcPr>
            <w:tcW w:type="dxa" w:w="27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07334C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9"/>
                <w:szCs w:val="19"/>
              </w:rPr>
              <w:t xml:space="preserve">标准 iRT</w:t>
            </w:r>
          </w:p>
        </w:tc>
      </w:tr>
      <w:tr>
        <w:tc>
          <w:tcPr>
            <w:tcW w:type="dxa" w:w="7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EAF4F7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color w:val="203646"/>
                <w:sz w:val="19"/>
                <w:szCs w:val="19"/>
              </w:rPr>
              <w:t xml:space="preserve">1</w:t>
            </w:r>
          </w:p>
        </w:tc>
        <w:tc>
          <w:tcPr>
            <w:tcW w:type="dxa" w:w="34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LGGNEQVTR</w:t>
            </w:r>
          </w:p>
        </w:tc>
        <w:tc>
          <w:tcPr>
            <w:tcW w:type="dxa" w:w="22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487.257</w:t>
            </w:r>
          </w:p>
        </w:tc>
        <w:tc>
          <w:tcPr>
            <w:tcW w:type="dxa" w:w="27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-24.916</w:t>
            </w:r>
          </w:p>
        </w:tc>
      </w:tr>
      <w:tr>
        <w:tc>
          <w:tcPr>
            <w:tcW w:type="dxa" w:w="7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EAF4F7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color w:val="203646"/>
                <w:sz w:val="19"/>
                <w:szCs w:val="19"/>
              </w:rPr>
              <w:t xml:space="preserve">2</w:t>
            </w:r>
          </w:p>
        </w:tc>
        <w:tc>
          <w:tcPr>
            <w:tcW w:type="dxa" w:w="34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GAGSSEPVTGLDAK</w:t>
            </w:r>
          </w:p>
        </w:tc>
        <w:tc>
          <w:tcPr>
            <w:tcW w:type="dxa" w:w="22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644.823</w:t>
            </w:r>
          </w:p>
        </w:tc>
        <w:tc>
          <w:tcPr>
            <w:tcW w:type="dxa" w:w="27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0.001</w:t>
            </w:r>
          </w:p>
        </w:tc>
      </w:tr>
      <w:tr>
        <w:tc>
          <w:tcPr>
            <w:tcW w:type="dxa" w:w="7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EAF4F7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color w:val="203646"/>
                <w:sz w:val="19"/>
                <w:szCs w:val="19"/>
              </w:rPr>
              <w:t xml:space="preserve">3</w:t>
            </w:r>
          </w:p>
        </w:tc>
        <w:tc>
          <w:tcPr>
            <w:tcW w:type="dxa" w:w="34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VEATFGVDESNAK</w:t>
            </w:r>
          </w:p>
        </w:tc>
        <w:tc>
          <w:tcPr>
            <w:tcW w:type="dxa" w:w="22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683.828</w:t>
            </w:r>
          </w:p>
        </w:tc>
        <w:tc>
          <w:tcPr>
            <w:tcW w:type="dxa" w:w="27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12.389</w:t>
            </w:r>
          </w:p>
        </w:tc>
      </w:tr>
      <w:tr>
        <w:tc>
          <w:tcPr>
            <w:tcW w:type="dxa" w:w="7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EAF4F7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color w:val="203646"/>
                <w:sz w:val="19"/>
                <w:szCs w:val="19"/>
              </w:rPr>
              <w:t xml:space="preserve">4</w:t>
            </w:r>
          </w:p>
        </w:tc>
        <w:tc>
          <w:tcPr>
            <w:tcW w:type="dxa" w:w="34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YILAGVENSK</w:t>
            </w:r>
          </w:p>
        </w:tc>
        <w:tc>
          <w:tcPr>
            <w:tcW w:type="dxa" w:w="22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547.298</w:t>
            </w:r>
          </w:p>
        </w:tc>
        <w:tc>
          <w:tcPr>
            <w:tcW w:type="dxa" w:w="27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19.788</w:t>
            </w:r>
          </w:p>
        </w:tc>
      </w:tr>
      <w:tr>
        <w:tc>
          <w:tcPr>
            <w:tcW w:type="dxa" w:w="7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EAF4F7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color w:val="203646"/>
                <w:sz w:val="19"/>
                <w:szCs w:val="19"/>
              </w:rPr>
              <w:t xml:space="preserve">5</w:t>
            </w:r>
          </w:p>
        </w:tc>
        <w:tc>
          <w:tcPr>
            <w:tcW w:type="dxa" w:w="34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TPVISGGPYEYR</w:t>
            </w:r>
          </w:p>
        </w:tc>
        <w:tc>
          <w:tcPr>
            <w:tcW w:type="dxa" w:w="22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669.838</w:t>
            </w:r>
          </w:p>
        </w:tc>
        <w:tc>
          <w:tcPr>
            <w:tcW w:type="dxa" w:w="27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28.715</w:t>
            </w:r>
          </w:p>
        </w:tc>
      </w:tr>
      <w:tr>
        <w:tc>
          <w:tcPr>
            <w:tcW w:type="dxa" w:w="7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EAF4F7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color w:val="203646"/>
                <w:sz w:val="19"/>
                <w:szCs w:val="19"/>
              </w:rPr>
              <w:t xml:space="preserve">6</w:t>
            </w:r>
          </w:p>
        </w:tc>
        <w:tc>
          <w:tcPr>
            <w:tcW w:type="dxa" w:w="34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TPVITGAPYEYR</w:t>
            </w:r>
          </w:p>
        </w:tc>
        <w:tc>
          <w:tcPr>
            <w:tcW w:type="dxa" w:w="22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683.854</w:t>
            </w:r>
          </w:p>
        </w:tc>
        <w:tc>
          <w:tcPr>
            <w:tcW w:type="dxa" w:w="27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33.381</w:t>
            </w:r>
          </w:p>
        </w:tc>
      </w:tr>
      <w:tr>
        <w:tc>
          <w:tcPr>
            <w:tcW w:type="dxa" w:w="7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EAF4F7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color w:val="203646"/>
                <w:sz w:val="19"/>
                <w:szCs w:val="19"/>
              </w:rPr>
              <w:t xml:space="preserve">7</w:t>
            </w:r>
          </w:p>
        </w:tc>
        <w:tc>
          <w:tcPr>
            <w:tcW w:type="dxa" w:w="34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DGLDAASYYAPVR</w:t>
            </w:r>
          </w:p>
        </w:tc>
        <w:tc>
          <w:tcPr>
            <w:tcW w:type="dxa" w:w="22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699.339</w:t>
            </w:r>
          </w:p>
        </w:tc>
        <w:tc>
          <w:tcPr>
            <w:tcW w:type="dxa" w:w="27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42.264</w:t>
            </w:r>
          </w:p>
        </w:tc>
      </w:tr>
      <w:tr>
        <w:tc>
          <w:tcPr>
            <w:tcW w:type="dxa" w:w="7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EAF4F7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color w:val="203646"/>
                <w:sz w:val="19"/>
                <w:szCs w:val="19"/>
              </w:rPr>
              <w:t xml:space="preserve">8</w:t>
            </w:r>
          </w:p>
        </w:tc>
        <w:tc>
          <w:tcPr>
            <w:tcW w:type="dxa" w:w="34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ADVTPADFSEWSK</w:t>
            </w:r>
          </w:p>
        </w:tc>
        <w:tc>
          <w:tcPr>
            <w:tcW w:type="dxa" w:w="22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726.836</w:t>
            </w:r>
          </w:p>
        </w:tc>
        <w:tc>
          <w:tcPr>
            <w:tcW w:type="dxa" w:w="27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54.621</w:t>
            </w:r>
          </w:p>
        </w:tc>
      </w:tr>
      <w:tr>
        <w:tc>
          <w:tcPr>
            <w:tcW w:type="dxa" w:w="7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EAF4F7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color w:val="203646"/>
                <w:sz w:val="19"/>
                <w:szCs w:val="19"/>
              </w:rPr>
              <w:t xml:space="preserve">9</w:t>
            </w:r>
          </w:p>
        </w:tc>
        <w:tc>
          <w:tcPr>
            <w:tcW w:type="dxa" w:w="34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GTFIIDPGGVIR</w:t>
            </w:r>
          </w:p>
        </w:tc>
        <w:tc>
          <w:tcPr>
            <w:tcW w:type="dxa" w:w="22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622.854</w:t>
            </w:r>
          </w:p>
        </w:tc>
        <w:tc>
          <w:tcPr>
            <w:tcW w:type="dxa" w:w="27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70.519</w:t>
            </w:r>
          </w:p>
        </w:tc>
      </w:tr>
      <w:tr>
        <w:tc>
          <w:tcPr>
            <w:tcW w:type="dxa" w:w="7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EAF4F7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color w:val="203646"/>
                <w:sz w:val="19"/>
                <w:szCs w:val="19"/>
              </w:rPr>
              <w:t xml:space="preserve">10</w:t>
            </w:r>
          </w:p>
        </w:tc>
        <w:tc>
          <w:tcPr>
            <w:tcW w:type="dxa" w:w="34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GTFIIDPAAVIR</w:t>
            </w:r>
          </w:p>
        </w:tc>
        <w:tc>
          <w:tcPr>
            <w:tcW w:type="dxa" w:w="22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636.869</w:t>
            </w:r>
          </w:p>
        </w:tc>
        <w:tc>
          <w:tcPr>
            <w:tcW w:type="dxa" w:w="27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87.233</w:t>
            </w:r>
          </w:p>
        </w:tc>
      </w:tr>
      <w:tr>
        <w:tc>
          <w:tcPr>
            <w:tcW w:type="dxa" w:w="7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EAF4F7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color w:val="203646"/>
                <w:sz w:val="19"/>
                <w:szCs w:val="19"/>
              </w:rPr>
              <w:t xml:space="preserve">11</w:t>
            </w:r>
          </w:p>
        </w:tc>
        <w:tc>
          <w:tcPr>
            <w:tcW w:type="dxa" w:w="34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LFLQFGAQGSPFLK</w:t>
            </w:r>
          </w:p>
        </w:tc>
        <w:tc>
          <w:tcPr>
            <w:tcW w:type="dxa" w:w="22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776.930</w:t>
            </w:r>
          </w:p>
        </w:tc>
        <w:tc>
          <w:tcPr>
            <w:tcW w:type="dxa" w:w="27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FFF" w:val="clear"/>
            <w:tcMar>
              <w:top w:type="dxa" w:w="95"/>
              <w:left w:type="dxa" w:w="120"/>
              <w:bottom w:type="dxa" w:w="95"/>
              <w:right w:type="dxa" w:w="12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03646"/>
                <w:sz w:val="19"/>
                <w:szCs w:val="19"/>
              </w:rPr>
              <w:t xml:space="preserve">100.003</w:t>
            </w:r>
          </w:p>
        </w:tc>
      </w:tr>
    </w:tbl>
    <w:p>
      <w:pPr>
        <w:spacing w:after="80"/>
      </w:pPr>
      <w:hyperlink w:history="1" r:id="rIdlbpbg3seeq3rfrrkrmu3n">
        <w:r>
          <w:rPr>
            <w:rStyle w:val="Hyperlink"/>
            <w:rFonts w:ascii="Microsoft YaHei" w:cs="Microsoft YaHei" w:eastAsia="Microsoft YaHei" w:hAnsi="Microsoft YaHei"/>
            <w:sz w:val="20"/>
            <w:szCs w:val="20"/>
          </w:rPr>
          <w:t xml:space="preserve">下载：iRT 参考肽、Transitions 与换算表（中文）</w:t>
        </w:r>
      </w:hyperlink>
    </w:p>
    <w:p>
      <w:pPr>
        <w:spacing w:after="80"/>
      </w:pPr>
      <w:hyperlink w:history="1" r:id="rIdeth1jzdpwph1stmqiu88v">
        <w:r>
          <w:rPr>
            <w:rStyle w:val="Hyperlink"/>
            <w:rFonts w:ascii="Microsoft YaHei" w:cs="Microsoft YaHei" w:eastAsia="Microsoft YaHei" w:hAnsi="Microsoft YaHei"/>
            <w:sz w:val="20"/>
            <w:szCs w:val="20"/>
          </w:rPr>
          <w:t xml:space="preserve">下载：iRT Fusion FASTA</w:t>
        </w:r>
      </w:hyperlink>
    </w:p>
    <w:p>
      <w:pPr>
        <w:pStyle w:val="Heading1"/>
        <w:spacing w:after="150" w:before="320"/>
      </w:pPr>
      <w:r>
        <w:rPr>
          <w:rFonts w:ascii="Microsoft YaHei" w:cs="Microsoft YaHei" w:eastAsia="Microsoft YaHei" w:hAnsi="Microsoft YaHei"/>
          <w:b/>
          <w:bCs/>
          <w:color w:val="07334C"/>
          <w:sz w:val="30"/>
          <w:szCs w:val="30"/>
        </w:rPr>
        <w:t xml:space="preserve">7. 质量控制与结果判断</w:t>
      </w:r>
    </w:p>
    <w:p>
      <w:pPr>
        <w:pStyle w:val="ListParagraph"/>
        <w:numPr>
          <w:ilvl w:val="0"/>
          <w:numId w:val="2"/>
        </w:numPr>
        <w:spacing w:after="90" w:line="310"/>
      </w:pPr>
      <w:r>
        <w:rPr>
          <w:rFonts w:ascii="Microsoft YaHei" w:cs="Microsoft YaHei" w:eastAsia="Microsoft YaHei" w:hAnsi="Microsoft YaHei"/>
          <w:color w:val="203646"/>
          <w:sz w:val="21"/>
          <w:szCs w:val="21"/>
        </w:rPr>
        <w:t xml:space="preserve">并非所有色谱条件都能检出全部 11 条 iRT 肽；官方快速参考卡明确指出，这本身不必然影响保留时间归一化和系统校准。</w:t>
      </w:r>
    </w:p>
    <w:p>
      <w:pPr>
        <w:pStyle w:val="ListParagraph"/>
        <w:numPr>
          <w:ilvl w:val="0"/>
          <w:numId w:val="2"/>
        </w:numPr>
        <w:spacing w:after="90" w:line="310"/>
      </w:pPr>
      <w:r>
        <w:rPr>
          <w:rFonts w:ascii="Microsoft YaHei" w:cs="Microsoft YaHei" w:eastAsia="Microsoft YaHei" w:hAnsi="Microsoft YaHei"/>
          <w:color w:val="203646"/>
          <w:sz w:val="21"/>
          <w:szCs w:val="21"/>
        </w:rPr>
        <w:t xml:space="preserve">长期 QC 建议持续监控 iRT 肽的实测 RT、预测 RT、Delta RT、峰宽、峰面积和质量误差，并记录换柱、梯度、流动相、维护与仪器事件。</w:t>
      </w:r>
    </w:p>
    <w:p>
      <w:pPr>
        <w:pStyle w:val="ListParagraph"/>
        <w:numPr>
          <w:ilvl w:val="0"/>
          <w:numId w:val="2"/>
        </w:numPr>
        <w:spacing w:after="90" w:line="310"/>
      </w:pPr>
      <w:r>
        <w:rPr>
          <w:rFonts w:ascii="Microsoft YaHei" w:cs="Microsoft YaHei" w:eastAsia="Microsoft YaHei" w:hAnsi="Microsoft YaHei"/>
          <w:color w:val="203646"/>
          <w:sz w:val="21"/>
          <w:szCs w:val="21"/>
        </w:rPr>
        <w:t xml:space="preserve">iRT 能吸收部分梯度漂移，但不能补偿失控的色谱系统。谱图库构建与 DIA/PRM 采集仍应尽量保持固定相、梯度、流速和系统状态一致。</w:t>
      </w:r>
    </w:p>
    <w:p>
      <w:pPr>
        <w:pStyle w:val="ListParagraph"/>
        <w:numPr>
          <w:ilvl w:val="0"/>
          <w:numId w:val="2"/>
        </w:numPr>
        <w:spacing w:after="90" w:line="310"/>
      </w:pPr>
      <w:r>
        <w:rPr>
          <w:rFonts w:ascii="Microsoft YaHei" w:cs="Microsoft YaHei" w:eastAsia="Microsoft YaHei" w:hAnsi="Microsoft YaHei"/>
          <w:color w:val="203646"/>
          <w:sz w:val="21"/>
          <w:szCs w:val="21"/>
        </w:rPr>
        <w:t xml:space="preserve">PRM scheduled window 需同时考虑保留时间偏差、并发 precursor 数、仪器扫描速度和峰宽；窗口过窄可能漏采，过宽会减少峰上数据点。</w:t>
      </w:r>
    </w:p>
    <w:p>
      <w:pPr>
        <w:pStyle w:val="Heading1"/>
        <w:spacing w:after="150" w:before="320"/>
      </w:pPr>
      <w:r>
        <w:rPr>
          <w:rFonts w:ascii="Microsoft YaHei" w:cs="Microsoft YaHei" w:eastAsia="Microsoft YaHei" w:hAnsi="Microsoft YaHei"/>
          <w:b/>
          <w:bCs/>
          <w:color w:val="07334C"/>
          <w:sz w:val="30"/>
          <w:szCs w:val="30"/>
        </w:rPr>
        <w:t xml:space="preserve">8. 安全与储存摘要</w:t>
      </w:r>
    </w:p>
    <w:p>
      <w:pPr>
        <w:spacing w:after="150" w:line="330"/>
      </w:pPr>
      <w:r>
        <w:rPr>
          <w:rFonts w:ascii="Microsoft YaHei" w:cs="Microsoft YaHei" w:eastAsia="Microsoft YaHei" w:hAnsi="Microsoft YaHei"/>
          <w:color w:val="203646"/>
          <w:sz w:val="22"/>
          <w:szCs w:val="22"/>
        </w:rPr>
        <w:t xml:space="preserve">iRT Standard 英文 SDS（修订日期 2023-08-25）将该混合物列为按 EC 1272/2008（CLP）不属于危险混合物，且没有需要在成分部分列出的危险物质。仍应按科研试剂管理要求避免吸入、摄入和接触，使用适当个人防护，并按当地规定处理废物。</w:t>
      </w:r>
    </w:p>
    <w:p>
      <w:pPr>
        <w:spacing w:after="150" w:line="330"/>
      </w:pPr>
      <w:r>
        <w:rPr>
          <w:rFonts w:ascii="Microsoft YaHei" w:cs="Microsoft YaHei" w:eastAsia="Microsoft YaHei" w:hAnsi="Microsoft YaHei"/>
          <w:color w:val="203646"/>
          <w:sz w:val="22"/>
          <w:szCs w:val="22"/>
        </w:rPr>
        <w:t xml:space="preserve">中国版流程需要额外加入乙腈。乙腈的危险性不能由 iRT Standard SDS 代替判断；操作前应另行查阅乙腈 SDS，并在通风、储存、防火和废液管理方面执行实验室制度。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9DDE6" w:sz="4"/>
              <w:left w:val="single" w:color="C9DDE6" w:sz="4"/>
              <w:bottom w:val="single" w:color="C9DDE6" w:sz="4"/>
              <w:right w:val="single" w:color="C9DDE6" w:sz="4"/>
            </w:tcBorders>
            <w:shd w:fill="FFF2CC" w:val="clear"/>
            <w:tcMar>
              <w:top w:type="dxa" w:w="150"/>
              <w:left w:type="dxa" w:w="180"/>
              <w:bottom w:type="dxa" w:w="150"/>
              <w:right w:type="dxa" w:w="180"/>
            </w:tcMar>
          </w:tcPr>
          <w:p>
            <w:pPr>
              <w:spacing w:after="0" w:line="330"/>
            </w:pPr>
            <w:r>
              <w:rPr>
                <w:rFonts w:ascii="Microsoft YaHei" w:cs="Microsoft YaHei" w:eastAsia="Microsoft YaHei" w:hAnsi="Microsoft YaHei"/>
                <w:color w:val="07334C"/>
                <w:sz w:val="20"/>
                <w:szCs w:val="20"/>
              </w:rPr>
              <w:t xml:space="preserve">本节为中文工作摘要，不是经过法规审定的 SDS 翻译。发生泄漏、暴露或运输问题时，以原厂 SDS、乙腈 SDS、随货标签和实验室应急程序为准。</w:t>
            </w:r>
          </w:p>
        </w:tc>
      </w:tr>
    </w:tbl>
    <w:p>
      <w:pPr>
        <w:pStyle w:val="Heading1"/>
        <w:spacing w:after="150" w:before="320"/>
      </w:pPr>
      <w:r>
        <w:rPr>
          <w:rFonts w:ascii="Microsoft YaHei" w:cs="Microsoft YaHei" w:eastAsia="Microsoft YaHei" w:hAnsi="Microsoft YaHei"/>
          <w:b/>
          <w:bCs/>
          <w:color w:val="07334C"/>
          <w:sz w:val="30"/>
          <w:szCs w:val="30"/>
        </w:rPr>
        <w:t xml:space="preserve">9. 官方文件与中文附件</w:t>
      </w:r>
    </w:p>
    <w:p>
      <w:pPr>
        <w:spacing w:after="80"/>
      </w:pPr>
      <w:hyperlink w:history="1" r:id="rIdwb47dmg_a28gxhv-o2_wz">
        <w:r>
          <w:rPr>
            <w:rStyle w:val="Hyperlink"/>
            <w:rFonts w:ascii="Microsoft YaHei" w:cs="Microsoft YaHei" w:eastAsia="Microsoft YaHei" w:hAnsi="Microsoft YaHei"/>
            <w:sz w:val="20"/>
            <w:szCs w:val="20"/>
          </w:rPr>
          <w:t xml:space="preserve">iRT Kit 快速参考卡（英文）</w:t>
        </w:r>
      </w:hyperlink>
    </w:p>
    <w:p>
      <w:pPr>
        <w:spacing w:after="80"/>
      </w:pPr>
      <w:hyperlink w:history="1" r:id="rId1yu62xjlaepbgrrxwrbau">
        <w:r>
          <w:rPr>
            <w:rStyle w:val="Hyperlink"/>
            <w:rFonts w:ascii="Microsoft YaHei" w:cs="Microsoft YaHei" w:eastAsia="Microsoft YaHei" w:hAnsi="Microsoft YaHei"/>
            <w:sz w:val="20"/>
            <w:szCs w:val="20"/>
          </w:rPr>
          <w:t xml:space="preserve">2x iRT Kit 快速参考卡（英文）</w:t>
        </w:r>
      </w:hyperlink>
    </w:p>
    <w:p>
      <w:pPr>
        <w:spacing w:after="80"/>
      </w:pPr>
      <w:hyperlink w:history="1" r:id="rIda3ttraof-q1ds2ufe-5kq">
        <w:r>
          <w:rPr>
            <w:rStyle w:val="Hyperlink"/>
            <w:rFonts w:ascii="Microsoft YaHei" w:cs="Microsoft YaHei" w:eastAsia="Microsoft YaHei" w:hAnsi="Microsoft YaHei"/>
            <w:sz w:val="20"/>
            <w:szCs w:val="20"/>
          </w:rPr>
          <w:t xml:space="preserve">iRT Kit 中国版快速参考卡（英文）</w:t>
        </w:r>
      </w:hyperlink>
    </w:p>
    <w:p>
      <w:pPr>
        <w:spacing w:after="80"/>
      </w:pPr>
      <w:hyperlink w:history="1" r:id="rIdpbuhocgt-9jqgwq7jqazl">
        <w:r>
          <w:rPr>
            <w:rStyle w:val="Hyperlink"/>
            <w:rFonts w:ascii="Microsoft YaHei" w:cs="Microsoft YaHei" w:eastAsia="Microsoft YaHei" w:hAnsi="Microsoft YaHei"/>
            <w:sz w:val="20"/>
            <w:szCs w:val="20"/>
          </w:rPr>
          <w:t xml:space="preserve">2x iRT Kit 中国版快速参考卡（英文）</w:t>
        </w:r>
      </w:hyperlink>
    </w:p>
    <w:p>
      <w:pPr>
        <w:spacing w:after="80"/>
      </w:pPr>
      <w:hyperlink w:history="1" r:id="rIdzmvwqmkjn2saoxb85owur">
        <w:r>
          <w:rPr>
            <w:rStyle w:val="Hyperlink"/>
            <w:rFonts w:ascii="Microsoft YaHei" w:cs="Microsoft YaHei" w:eastAsia="Microsoft YaHei" w:hAnsi="Microsoft YaHei"/>
            <w:sz w:val="20"/>
            <w:szCs w:val="20"/>
          </w:rPr>
          <w:t xml:space="preserve">iRT Kit 新一代产品说明（英文）</w:t>
        </w:r>
      </w:hyperlink>
    </w:p>
    <w:p>
      <w:pPr>
        <w:spacing w:after="80"/>
      </w:pPr>
      <w:hyperlink w:history="1" r:id="rIdlepfzsu1vnapz_gsb-lrf">
        <w:r>
          <w:rPr>
            <w:rStyle w:val="Hyperlink"/>
            <w:rFonts w:ascii="Microsoft YaHei" w:cs="Microsoft YaHei" w:eastAsia="Microsoft YaHei" w:hAnsi="Microsoft YaHei"/>
            <w:sz w:val="20"/>
            <w:szCs w:val="20"/>
          </w:rPr>
          <w:t xml:space="preserve">iRT Standard SDS 2023（英文）</w:t>
        </w:r>
      </w:hyperlink>
    </w:p>
    <w:p>
      <w:pPr>
        <w:spacing w:after="80"/>
      </w:pPr>
      <w:hyperlink w:history="1" r:id="rIdi7nmf1htvcovnwrw1jrtc">
        <w:r>
          <w:rPr>
            <w:rStyle w:val="Hyperlink"/>
            <w:rFonts w:ascii="Microsoft YaHei" w:cs="Microsoft YaHei" w:eastAsia="Microsoft YaHei" w:hAnsi="Microsoft YaHei"/>
            <w:sz w:val="20"/>
            <w:szCs w:val="20"/>
          </w:rPr>
          <w:t xml:space="preserve">iRT Standard SDS 2024（日文）</w:t>
        </w:r>
      </w:hyperlink>
    </w:p>
    <w:p>
      <w:pPr>
        <w:spacing w:after="80"/>
      </w:pPr>
      <w:hyperlink w:history="1" r:id="rId3b990upclwx9t7tnaoeuh">
        <w:r>
          <w:rPr>
            <w:rStyle w:val="Hyperlink"/>
            <w:rFonts w:ascii="Microsoft YaHei" w:cs="Microsoft YaHei" w:eastAsia="Microsoft YaHei" w:hAnsi="Microsoft YaHei"/>
            <w:sz w:val="20"/>
            <w:szCs w:val="20"/>
          </w:rPr>
          <w:t xml:space="preserve">iRT Kit 历史 MSDS（英文）</w:t>
        </w:r>
      </w:hyperlink>
    </w:p>
    <w:p>
      <w:pPr>
        <w:spacing w:after="80"/>
      </w:pPr>
      <w:hyperlink w:history="1" r:id="rIdul6nvkyukxggam-0o9_kb">
        <w:r>
          <w:rPr>
            <w:rStyle w:val="Hyperlink"/>
            <w:rFonts w:ascii="Microsoft YaHei" w:cs="Microsoft YaHei" w:eastAsia="Microsoft YaHei" w:hAnsi="Microsoft YaHei"/>
            <w:sz w:val="20"/>
            <w:szCs w:val="20"/>
          </w:rPr>
          <w:t xml:space="preserve">iRT 参考肽与转换表（中文）</w:t>
        </w:r>
      </w:hyperlink>
    </w:p>
    <w:p>
      <w:pPr>
        <w:spacing w:after="80"/>
      </w:pPr>
      <w:hyperlink w:history="1" r:id="rIdfhqggsqeyf_l1iatqxx23">
        <w:r>
          <w:rPr>
            <w:rStyle w:val="Hyperlink"/>
            <w:rFonts w:ascii="Microsoft YaHei" w:cs="Microsoft YaHei" w:eastAsia="Microsoft YaHei" w:hAnsi="Microsoft YaHei"/>
            <w:sz w:val="20"/>
            <w:szCs w:val="20"/>
          </w:rPr>
          <w:t xml:space="preserve">iRT 进样量计算器（中文）</w:t>
        </w:r>
      </w:hyperlink>
    </w:p>
    <w:p>
      <w:pPr>
        <w:spacing w:after="80"/>
      </w:pPr>
      <w:hyperlink w:history="1" r:id="rIdit0i3xytu97zeigujpuzm">
        <w:r>
          <w:rPr>
            <w:rStyle w:val="Hyperlink"/>
            <w:rFonts w:ascii="Microsoft YaHei" w:cs="Microsoft YaHei" w:eastAsia="Microsoft YaHei" w:hAnsi="Microsoft YaHei"/>
            <w:sz w:val="20"/>
            <w:szCs w:val="20"/>
          </w:rPr>
          <w:t xml:space="preserve">iRT Kit Reference Sheet（原版）</w:t>
        </w:r>
      </w:hyperlink>
    </w:p>
    <w:p>
      <w:pPr>
        <w:spacing w:after="80"/>
      </w:pPr>
      <w:hyperlink w:history="1" r:id="rIdcsexuh-tdvdybojnhqw3w">
        <w:r>
          <w:rPr>
            <w:rStyle w:val="Hyperlink"/>
            <w:rFonts w:ascii="Microsoft YaHei" w:cs="Microsoft YaHei" w:eastAsia="Microsoft YaHei" w:hAnsi="Microsoft YaHei"/>
            <w:sz w:val="20"/>
            <w:szCs w:val="20"/>
          </w:rPr>
          <w:t xml:space="preserve">iRT Peptides Volume Calculator（原版）</w:t>
        </w:r>
      </w:hyperlink>
    </w:p>
    <w:p>
      <w:pPr>
        <w:spacing w:after="80"/>
      </w:pPr>
      <w:hyperlink w:history="1" r:id="rIdo0fbfo0jptxsykkkjqwdj">
        <w:r>
          <w:rPr>
            <w:rStyle w:val="Hyperlink"/>
            <w:rFonts w:ascii="Microsoft YaHei" w:cs="Microsoft YaHei" w:eastAsia="Microsoft YaHei" w:hAnsi="Microsoft YaHei"/>
            <w:sz w:val="20"/>
            <w:szCs w:val="20"/>
          </w:rPr>
          <w:t xml:space="preserve">iRT Fusion FASTA（原版）</w:t>
        </w:r>
      </w:hyperlink>
    </w:p>
    <w:p>
      <w:pPr>
        <w:spacing w:after="80"/>
      </w:pPr>
      <w:hyperlink w:history="1" r:id="rIdhr5vdp5_zsey2oo_w9jcc">
        <w:r>
          <w:rPr>
            <w:rStyle w:val="Hyperlink"/>
            <w:rFonts w:ascii="Microsoft YaHei" w:cs="Microsoft YaHei" w:eastAsia="Microsoft YaHei" w:hAnsi="Microsoft YaHei"/>
            <w:sz w:val="20"/>
            <w:szCs w:val="20"/>
          </w:rPr>
          <w:t xml:space="preserve">QuiC 5 User Manual（关联软件手册）</w:t>
        </w:r>
      </w:hyperlink>
    </w:p>
    <w:p>
      <w:pPr>
        <w:pStyle w:val="Heading1"/>
        <w:spacing w:after="150" w:before="320"/>
      </w:pPr>
      <w:r>
        <w:rPr>
          <w:rFonts w:ascii="Microsoft YaHei" w:cs="Microsoft YaHei" w:eastAsia="Microsoft YaHei" w:hAnsi="Microsoft YaHei"/>
          <w:b/>
          <w:bCs/>
          <w:color w:val="07334C"/>
          <w:sz w:val="30"/>
          <w:szCs w:val="30"/>
        </w:rPr>
        <w:t xml:space="preserve">10. 易算公众号相关资料</w:t>
      </w:r>
    </w:p>
    <w:p>
      <w:pPr>
        <w:spacing w:after="150" w:line="330"/>
      </w:pPr>
      <w:r>
        <w:rPr>
          <w:rFonts w:ascii="Microsoft YaHei" w:cs="Microsoft YaHei" w:eastAsia="Microsoft YaHei" w:hAnsi="Microsoft YaHei"/>
          <w:color w:val="203646"/>
          <w:sz w:val="22"/>
          <w:szCs w:val="22"/>
        </w:rPr>
        <w:t xml:space="preserve">公众号资料用于补充中文原理、产品应用与软件工作流。包装规格和软件界面可能随年份变化，采购和操作以当前随货资料及软件正式手册为准。</w:t>
      </w:r>
    </w:p>
    <w:p>
      <w:pPr>
        <w:spacing w:after="80"/>
      </w:pPr>
      <w:hyperlink w:history="1" r:id="rIde8rgvgmt3sfthoknicyq2">
        <w:r>
          <w:rPr>
            <w:rStyle w:val="Hyperlink"/>
            <w:rFonts w:ascii="Microsoft YaHei" w:cs="Microsoft YaHei" w:eastAsia="Microsoft YaHei" w:hAnsi="Microsoft YaHei"/>
            <w:sz w:val="20"/>
            <w:szCs w:val="20"/>
          </w:rPr>
          <w:t xml:space="preserve">iRT 标肽校准试剂盒（2020-06-21）</w:t>
        </w:r>
      </w:hyperlink>
    </w:p>
    <w:p>
      <w:pPr>
        <w:spacing w:after="80"/>
      </w:pPr>
      <w:hyperlink w:history="1" r:id="rIdfemimgjtmjd9zsasptp5z">
        <w:r>
          <w:rPr>
            <w:rStyle w:val="Hyperlink"/>
            <w:rFonts w:ascii="Microsoft YaHei" w:cs="Microsoft YaHei" w:eastAsia="Microsoft YaHei" w:hAnsi="Microsoft YaHei"/>
            <w:sz w:val="20"/>
            <w:szCs w:val="20"/>
          </w:rPr>
          <w:t xml:space="preserve">iRT 基础知识（2021-01-30）</w:t>
        </w:r>
      </w:hyperlink>
    </w:p>
    <w:p>
      <w:pPr>
        <w:spacing w:after="80"/>
      </w:pPr>
      <w:hyperlink w:history="1" r:id="rIdgdfe0ukd4djtfdgojkdrd">
        <w:r>
          <w:rPr>
            <w:rStyle w:val="Hyperlink"/>
            <w:rFonts w:ascii="Microsoft YaHei" w:cs="Microsoft YaHei" w:eastAsia="Microsoft YaHei" w:hAnsi="Microsoft YaHei"/>
            <w:sz w:val="20"/>
            <w:szCs w:val="20"/>
          </w:rPr>
          <w:t xml:space="preserve">高精度 iRT 预测你了解吗？（2021-01-21）</w:t>
        </w:r>
      </w:hyperlink>
    </w:p>
    <w:p>
      <w:pPr>
        <w:spacing w:after="80"/>
      </w:pPr>
      <w:hyperlink w:history="1" r:id="rIdyecjqja8y_7iojabn96l5">
        <w:r>
          <w:rPr>
            <w:rStyle w:val="Hyperlink"/>
            <w:rFonts w:ascii="Microsoft YaHei" w:cs="Microsoft YaHei" w:eastAsia="Microsoft YaHei" w:hAnsi="Microsoft YaHei"/>
            <w:sz w:val="20"/>
            <w:szCs w:val="20"/>
          </w:rPr>
          <w:t xml:space="preserve">快速完成 PRM 方法优化 - SpectroDive（2021-01-22）</w:t>
        </w:r>
      </w:hyperlink>
    </w:p>
    <w:p>
      <w:pPr>
        <w:pStyle w:val="Heading1"/>
        <w:spacing w:after="150" w:before="320"/>
      </w:pPr>
      <w:r>
        <w:rPr>
          <w:rFonts w:ascii="Microsoft YaHei" w:cs="Microsoft YaHei" w:eastAsia="Microsoft YaHei" w:hAnsi="Microsoft YaHei"/>
          <w:b/>
          <w:bCs/>
          <w:color w:val="07334C"/>
          <w:sz w:val="30"/>
          <w:szCs w:val="30"/>
        </w:rPr>
        <w:t xml:space="preserve">11. 官方来源与版本记录</w:t>
      </w:r>
    </w:p>
    <w:p>
      <w:pPr>
        <w:spacing w:after="80"/>
      </w:pPr>
      <w:hyperlink w:history="1" r:id="rId7lrljjvc_j1qtys0n3btt">
        <w:r>
          <w:rPr>
            <w:rStyle w:val="Hyperlink"/>
            <w:rFonts w:ascii="Microsoft YaHei" w:cs="Microsoft YaHei" w:eastAsia="Microsoft YaHei" w:hAnsi="Microsoft YaHei"/>
            <w:sz w:val="20"/>
            <w:szCs w:val="20"/>
          </w:rPr>
          <w:t xml:space="preserve">Biognosys iRT Kit Quick Reference Card（PA-2003.V7，2020）</w:t>
        </w:r>
      </w:hyperlink>
    </w:p>
    <w:p>
      <w:pPr>
        <w:spacing w:after="80"/>
      </w:pPr>
      <w:hyperlink w:history="1" r:id="rIdbtlzus4ck_jywxswo-2e-">
        <w:r>
          <w:rPr>
            <w:rStyle w:val="Hyperlink"/>
            <w:rFonts w:ascii="Microsoft YaHei" w:cs="Microsoft YaHei" w:eastAsia="Microsoft YaHei" w:hAnsi="Microsoft YaHei"/>
            <w:sz w:val="20"/>
            <w:szCs w:val="20"/>
          </w:rPr>
          <w:t xml:space="preserve">Biognosys 2x iRT Kit Quick Reference Card（PA-2027.V4，2020）</w:t>
        </w:r>
      </w:hyperlink>
    </w:p>
    <w:p>
      <w:pPr>
        <w:spacing w:after="80"/>
      </w:pPr>
      <w:hyperlink w:history="1" r:id="rId8wu92y7_2k9bq4a4vrixv">
        <w:r>
          <w:rPr>
            <w:rStyle w:val="Hyperlink"/>
            <w:rFonts w:ascii="Microsoft YaHei" w:cs="Microsoft YaHei" w:eastAsia="Microsoft YaHei" w:hAnsi="Microsoft YaHei"/>
            <w:sz w:val="20"/>
            <w:szCs w:val="20"/>
          </w:rPr>
          <w:t xml:space="preserve">Biognosys iRT Kit New Generation Flyer</w:t>
        </w:r>
      </w:hyperlink>
    </w:p>
    <w:p>
      <w:pPr>
        <w:spacing w:after="80"/>
      </w:pPr>
      <w:hyperlink w:history="1" r:id="rIdmkk63gh9_yb0oravjxbav">
        <w:r>
          <w:rPr>
            <w:rStyle w:val="Hyperlink"/>
            <w:rFonts w:ascii="Microsoft YaHei" w:cs="Microsoft YaHei" w:eastAsia="Microsoft YaHei" w:hAnsi="Microsoft YaHei"/>
            <w:sz w:val="20"/>
            <w:szCs w:val="20"/>
          </w:rPr>
          <w:t xml:space="preserve">Biognosys iRT Standard SDS en-US（Revision 2023-08-25）</w:t>
        </w:r>
      </w:hyperlink>
    </w:p>
    <w:p>
      <w:pPr>
        <w:spacing w:after="80"/>
      </w:pPr>
      <w:hyperlink w:history="1" r:id="rIdcwaui9klf_gclm61ygvrc">
        <w:r>
          <w:rPr>
            <w:rStyle w:val="Hyperlink"/>
            <w:rFonts w:ascii="Microsoft YaHei" w:cs="Microsoft YaHei" w:eastAsia="Microsoft YaHei" w:hAnsi="Microsoft YaHei"/>
            <w:sz w:val="20"/>
            <w:szCs w:val="20"/>
          </w:rPr>
          <w:t xml:space="preserve">Biognosys QuiC 5 User Manual</w:t>
        </w:r>
      </w:hyperlink>
    </w:p>
    <w:p>
      <w:pPr>
        <w:spacing w:after="150" w:line="330"/>
      </w:pPr>
      <w:r>
        <w:rPr>
          <w:rFonts w:ascii="Microsoft YaHei" w:cs="Microsoft YaHei" w:eastAsia="Microsoft YaHei" w:hAnsi="Microsoft YaHei"/>
          <w:color w:val="526477"/>
          <w:sz w:val="18"/>
          <w:szCs w:val="18"/>
        </w:rPr>
        <w:t xml:space="preserve">研究用途（RUO），不用于诊断程序。翻译与整理：OpenAI，2026-08-27。</w:t>
      </w:r>
    </w:p>
    <w:sectPr>
      <w:headerReference w:type="default" r:id="rId7"/>
      <w:footerReference w:type="default" r:id="rId8"/>
      <w:pgSz w:w="11906" w:h="16838" w:orient="portrait"/>
      <w:pgMar w:top="900" w:right="1150" w:bottom="900" w:left="11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Microsoft YaHei" w:cs="Microsoft YaHei" w:eastAsia="Microsoft YaHei" w:hAnsi="Microsoft YaHei"/>
        <w:color w:val="526477"/>
        <w:sz w:val="16"/>
        <w:szCs w:val="16"/>
      </w:rPr>
      <w:t xml:space="preserve">OmicSolution  ·  </w:t>
    </w:r>
    <w:r>
      <w:rPr>
        <w:rFonts w:ascii="Microsoft YaHei" w:cs="Microsoft YaHei" w:eastAsia="Microsoft YaHei" w:hAnsi="Microsoft YaHei"/>
        <w:color w:val="526477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9B95" w:sz="6" w:space="1"/>
      </w:pBdr>
    </w:pPr>
    <w:r>
      <w:rPr>
        <w:rFonts w:ascii="Microsoft YaHei" w:cs="Microsoft YaHei" w:eastAsia="Microsoft YaHei" w:hAnsi="Microsoft YaHei"/>
        <w:color w:val="526477"/>
        <w:sz w:val="17"/>
        <w:szCs w:val="17"/>
      </w:rPr>
      <w:t xml:space="preserve">Biognosys iRT Kit | 中文使用与资料说明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00" w:hanging="25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YaHei" w:cs="Microsoft YaHei" w:eastAsia="Microsoft YaHei" w:hAnsi="Microsoft YaHei"/>
        <w:color w:val="203646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50" w:before="320"/>
      <w:outlineLvl w:val="0"/>
    </w:pPr>
    <w:rPr>
      <w:rFonts w:ascii="Microsoft YaHei" w:cs="Microsoft YaHei" w:eastAsia="Microsoft YaHei" w:hAnsi="Microsoft YaHei"/>
      <w:b/>
      <w:bCs/>
      <w:color w:val="07334C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30" w:before="220"/>
      <w:outlineLvl w:val="1"/>
    </w:pPr>
    <w:rPr>
      <w:rFonts w:ascii="Microsoft YaHei" w:cs="Microsoft YaHei" w:eastAsia="Microsoft YaHei" w:hAnsi="Microsoft YaHei"/>
      <w:b/>
      <w:bCs/>
      <w:color w:val="0B6FAE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plegh5qo7tqst1qpc6a26" Type="http://schemas.openxmlformats.org/officeDocument/2006/relationships/hyperlink" Target="https://gemma.omicsolution.com/assets/product-manuals/attachments/biognosys-irt-kit/irt-volume-calculator-cn.xlsx" TargetMode="External"/><Relationship Id="rIdlbpbg3seeq3rfrrkrmu3n" Type="http://schemas.openxmlformats.org/officeDocument/2006/relationships/hyperlink" Target="https://gemma.omicsolution.com/assets/product-manuals/attachments/biognosys-irt-kit/irt-reference-sheet-cn.xlsx" TargetMode="External"/><Relationship Id="rIdeth1jzdpwph1stmqiu88v" Type="http://schemas.openxmlformats.org/officeDocument/2006/relationships/hyperlink" Target="https://gemma.omicsolution.com/assets/product-manuals/attachments/biognosys-irt-kit/irtfusion.fasta" TargetMode="External"/><Relationship Id="rIdwb47dmg_a28gxhv-o2_wz" Type="http://schemas.openxmlformats.org/officeDocument/2006/relationships/hyperlink" Target="https://gemma.omicsolution.com/assets/product-manuals/attachments/biognosys-irt-kit/irt-kit-quick-reference-card.pdf" TargetMode="External"/><Relationship Id="rId1yu62xjlaepbgrrxwrbau" Type="http://schemas.openxmlformats.org/officeDocument/2006/relationships/hyperlink" Target="https://gemma.omicsolution.com/assets/product-manuals/attachments/biognosys-irt-kit/2x-irt-kit-quick-reference-card.pdf" TargetMode="External"/><Relationship Id="rIda3ttraof-q1ds2ufe-5kq" Type="http://schemas.openxmlformats.org/officeDocument/2006/relationships/hyperlink" Target="https://gemma.omicsolution.com/assets/product-manuals/attachments/biognosys-irt-kit/irt-kit-quick-reference-card-china.pdf" TargetMode="External"/><Relationship Id="rIdpbuhocgt-9jqgwq7jqazl" Type="http://schemas.openxmlformats.org/officeDocument/2006/relationships/hyperlink" Target="https://gemma.omicsolution.com/assets/product-manuals/attachments/biognosys-irt-kit/2x-irt-kit-quick-reference-card-china.pdf" TargetMode="External"/><Relationship Id="rIdzmvwqmkjn2saoxb85owur" Type="http://schemas.openxmlformats.org/officeDocument/2006/relationships/hyperlink" Target="https://gemma.omicsolution.com/assets/product-manuals/attachments/biognosys-irt-kit/irt-kit-new-generation-flyer.pdf" TargetMode="External"/><Relationship Id="rIdlepfzsu1vnapz_gsb-lrf" Type="http://schemas.openxmlformats.org/officeDocument/2006/relationships/hyperlink" Target="https://gemma.omicsolution.com/assets/product-manuals/attachments/biognosys-irt-kit/irt-standard-sds-en-us-2023.pdf" TargetMode="External"/><Relationship Id="rIdi7nmf1htvcovnwrw1jrtc" Type="http://schemas.openxmlformats.org/officeDocument/2006/relationships/hyperlink" Target="https://gemma.omicsolution.com/assets/product-manuals/attachments/biognosys-irt-kit/irt-standard-sds-jp.pdf" TargetMode="External"/><Relationship Id="rId3b990upclwx9t7tnaoeuh" Type="http://schemas.openxmlformats.org/officeDocument/2006/relationships/hyperlink" Target="https://gemma.omicsolution.com/assets/product-manuals/attachments/biognosys-irt-kit/irt-kit-msds-legacy.pdf" TargetMode="External"/><Relationship Id="rIdul6nvkyukxggam-0o9_kb" Type="http://schemas.openxmlformats.org/officeDocument/2006/relationships/hyperlink" Target="https://gemma.omicsolution.com/assets/product-manuals/attachments/biognosys-irt-kit/irt-reference-sheet-cn.xlsx" TargetMode="External"/><Relationship Id="rIdfhqggsqeyf_l1iatqxx23" Type="http://schemas.openxmlformats.org/officeDocument/2006/relationships/hyperlink" Target="https://gemma.omicsolution.com/assets/product-manuals/attachments/biognosys-irt-kit/irt-volume-calculator-cn.xlsx" TargetMode="External"/><Relationship Id="rIdit0i3xytu97zeigujpuzm" Type="http://schemas.openxmlformats.org/officeDocument/2006/relationships/hyperlink" Target="https://gemma.omicsolution.com/assets/product-manuals/attachments/biognosys-irt-kit/irt-kit-reference-sheet-original.xls" TargetMode="External"/><Relationship Id="rIdcsexuh-tdvdybojnhqw3w" Type="http://schemas.openxmlformats.org/officeDocument/2006/relationships/hyperlink" Target="https://gemma.omicsolution.com/assets/product-manuals/attachments/biognosys-irt-kit/irt-volume-calculator-original.xlsx" TargetMode="External"/><Relationship Id="rIdo0fbfo0jptxsykkkjqwdj" Type="http://schemas.openxmlformats.org/officeDocument/2006/relationships/hyperlink" Target="https://gemma.omicsolution.com/assets/product-manuals/attachments/biognosys-irt-kit/irtfusion.fasta" TargetMode="External"/><Relationship Id="rIdhr5vdp5_zsey2oo_w9jcc" Type="http://schemas.openxmlformats.org/officeDocument/2006/relationships/hyperlink" Target="https://gemma.omicsolution.com/assets/product-manuals/attachments/biognosys-irt-kit/quic5-user-manual.pdf" TargetMode="External"/><Relationship Id="rIde8rgvgmt3sfthoknicyq2" Type="http://schemas.openxmlformats.org/officeDocument/2006/relationships/hyperlink" Target="https://mp.weixin.qq.com/s?__biz=MzI2MTI5NDAzNg==&amp;mid=100000781&amp;idx=1&amp;sn=aa242bb77ef286d85bd60f5e89f41714&amp;chksm=6a5dd6b65d2a5fa00294c4bbc68867716a3cf95a20391a8908e0e1acd701cc5a5c492be489e9#rd" TargetMode="External"/><Relationship Id="rIdfemimgjtmjd9zsasptp5z" Type="http://schemas.openxmlformats.org/officeDocument/2006/relationships/hyperlink" Target="https://mp.weixin.qq.com/s?__biz=MzI2MTI5NDAzNg==&amp;mid=100001568&amp;idx=1&amp;sn=0328411fd9cbd09051ded020c9f26803&amp;chksm=6a5dd59b5d2a5c8d57309a3d6382863393f8ad2534111f6dd45991f3ecbbe737bb641ba0a2d1#rd" TargetMode="External"/><Relationship Id="rIdgdfe0ukd4djtfdgojkdrd" Type="http://schemas.openxmlformats.org/officeDocument/2006/relationships/hyperlink" Target="https://mp.weixin.qq.com/s/vPl3jTyYB7ihWykm8P-8gA" TargetMode="External"/><Relationship Id="rIdyecjqja8y_7iojabn96l5" Type="http://schemas.openxmlformats.org/officeDocument/2006/relationships/hyperlink" Target="https://mp.weixin.qq.com/s/hckdtn3BojXs6RvDyNEHZQ" TargetMode="External"/><Relationship Id="rId7lrljjvc_j1qtys0n3btt" Type="http://schemas.openxmlformats.org/officeDocument/2006/relationships/hyperlink" Target="https://biognosys.com/content/uploads/2021/03/irt-kit-quick-reference-card.pdf" TargetMode="External"/><Relationship Id="rIdbtlzus4ck_jywxswo-2e-" Type="http://schemas.openxmlformats.org/officeDocument/2006/relationships/hyperlink" Target="https://biognosys.com/content/uploads/2021/03/2xirt-kit-quick-reference-card.pdf" TargetMode="External"/><Relationship Id="rId8wu92y7_2k9bq4a4vrixv" Type="http://schemas.openxmlformats.org/officeDocument/2006/relationships/hyperlink" Target="https://biognosys.com/content/uploads/2021/03/irt-kitflyerscreen.pdf" TargetMode="External"/><Relationship Id="rIdmkk63gh9_yb0oravjxbav" Type="http://schemas.openxmlformats.org/officeDocument/2006/relationships/hyperlink" Target="https://biognosys.com/content/uploads/2024/03/SDS_iRT-Standard_en_us_25.08.2023.pdf" TargetMode="External"/><Relationship Id="rIdcwaui9klf_gclm61ygvrc" Type="http://schemas.openxmlformats.org/officeDocument/2006/relationships/hyperlink" Target="https://biognosys.com/content/uploads/2023/10/UserManual__QuiC5.pdf" TargetMode="External"/><Relationship Id="rId9" Type="http://schemas.openxmlformats.org/officeDocument/2006/relationships/image" Target="media/eaff963533ebdb28fc1fe5f74c6435ea3d9f42ff.jpg"/><Relationship Id="rId3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2026-08-27T07:18:06.824Z</dcterms:created>
  <dcterms:modified xsi:type="dcterms:W3CDTF">2026-08-27T07:18:06.825Z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