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CC1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  <w:t>Trypsin蛋白酶使用说明书</w:t>
      </w:r>
    </w:p>
    <w:p w14:paraId="0DE6A4FF"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货号：OSFP-Tryp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</w:t>
      </w:r>
      <w:r>
        <w:rPr>
          <w:rFonts w:hint="default" w:ascii="Times New Roman" w:hAnsi="Times New Roman" w:eastAsia="微软雅黑" w:cs="Times New Roman"/>
          <w:lang w:val="en-US" w:eastAsia="zh-CN"/>
        </w:rPr>
        <w:t>规格：</w:t>
      </w:r>
      <w:r>
        <w:rPr>
          <w:rFonts w:hint="eastAsia" w:ascii="Times New Roman" w:hAnsi="Times New Roman" w:eastAsia="微软雅黑" w:cs="Times New Roman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lang w:val="en-US" w:eastAsia="zh-CN"/>
        </w:rPr>
        <w:t>0μg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版本号：V20260609</w:t>
      </w:r>
      <w:bookmarkStart w:id="0" w:name="_GoBack"/>
      <w:bookmarkEnd w:id="0"/>
    </w:p>
    <w:p w14:paraId="0BF7DB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产品信息：</w:t>
      </w:r>
    </w:p>
    <w:p w14:paraId="707D0EA4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产品说明：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胰蛋白酶是一种丝氨酸蛋白酶，其活性位点包含一个丝氨酸残基，主要作用于蛋白质肽链中赖氨酸（Lys）和精氨酸（Arg）残基的羧基端肽键。这种特异性使得胰蛋白酶能够高效地分解蛋白质，将其分解为较小的肽段和氨基酸。但在实验过程中胰蛋白酶会攻击自身特定的赖氨酸或精氨酸残基，导致其自身结构的破坏和活性的丧失，影响实验的效果。胰蛋白酶自酶切可能导致完全酶切肽段的数量减少、增加未完全酶切肽段的数量以及还可能增加半酶切肽段的数量，这些都会增加质谱分析的复杂性，导致数据处理难度增加、定量分析的准确性降低。Omicsolution胰蛋白酶来源于大肠杆菌(Escherichia coli)重组表达，通过使用稳定剂增强胰蛋白酶的酶切特异性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。</w:t>
      </w:r>
    </w:p>
    <w:p w14:paraId="0B1D911F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批次号：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OST20251220；</w:t>
      </w:r>
    </w:p>
    <w:p w14:paraId="02F9970D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状态：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透明澄清液体；</w:t>
      </w:r>
    </w:p>
    <w:p w14:paraId="553810F1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Buffer成分：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50mM 醋酸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；</w:t>
      </w:r>
    </w:p>
    <w:p w14:paraId="3EEE2578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浓度：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2ug/ul；</w:t>
      </w:r>
    </w:p>
    <w:p w14:paraId="1CC7D14A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储存条件：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-20℃或-80℃条件下保存12个月；</w:t>
      </w:r>
    </w:p>
    <w:p w14:paraId="369D881E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使用建议：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按照20：1-100：1的蛋白和蛋白酶的量（W/W）进行酶解，37℃反应14-16h。</w:t>
      </w:r>
    </w:p>
    <w:p w14:paraId="614EBA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注意事项：</w:t>
      </w:r>
    </w:p>
    <w:p w14:paraId="5AFCF9C6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pH值：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胰蛋白酶在pH 7 - 9的碱性环境中活性最高，但在pH值低于4时会失活。因此，当酶解体系的pH值偏离其最适范围时，可能会导致胰蛋白酶的自酶切；</w:t>
      </w:r>
    </w:p>
    <w:p w14:paraId="6BA53AD0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温度：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胰蛋白酶的最适温度为37℃左右。如果酶解温度过高，可能会加速胰蛋白酶的自酶切，导致酶活性下降；</w:t>
      </w:r>
    </w:p>
    <w:p w14:paraId="2E99D6FB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酶与底物比例：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酶与底物的比例通常为1:20 - 1:100（w/w）。如果酶浓度过高，可能会增加胰蛋白酶分子间的相互作用，从而促进自酶切；</w:t>
      </w:r>
    </w:p>
    <w:p w14:paraId="165DBE1C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反应时间：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合理控制酶解时间，避免过度酶解；</w:t>
      </w:r>
    </w:p>
    <w:p w14:paraId="6CD32E90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反应体系：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酶解反应体系中建议尿素的含量低于2M，不能含有SDS</w:t>
      </w:r>
      <w:r>
        <w:rPr>
          <w:rFonts w:hint="default" w:ascii="Times New Roman" w:hAnsi="Times New Roman" w:eastAsia="微软雅黑" w:cs="Times New Roman"/>
          <w:b w:val="0"/>
          <w:bCs w:val="0"/>
          <w:sz w:val="24"/>
          <w:szCs w:val="24"/>
          <w:lang w:val="en-US" w:eastAsia="zh-CN"/>
        </w:rPr>
        <w:t>。</w:t>
      </w:r>
    </w:p>
    <w:p w14:paraId="3122E6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质量控制</w:t>
      </w:r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检验</w:t>
      </w:r>
    </w:p>
    <w:p w14:paraId="6E6A188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 w:val="0"/>
          <w:bCs w:val="0"/>
          <w:sz w:val="21"/>
          <w:lang w:val="en-US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检验依据：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重组胰蛋白酶质量标准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：SOP-04-304-00</w:t>
      </w:r>
    </w:p>
    <w:tbl>
      <w:tblPr>
        <w:tblStyle w:val="15"/>
        <w:tblpPr w:leftFromText="180" w:rightFromText="180" w:vertAnchor="page" w:horzAnchor="page" w:tblpXSpec="center" w:tblpY="4182"/>
        <w:tblOverlap w:val="never"/>
        <w:tblW w:w="98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3550"/>
        <w:gridCol w:w="3067"/>
        <w:gridCol w:w="1617"/>
      </w:tblGrid>
      <w:tr w14:paraId="28491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626" w:type="dxa"/>
            <w:tcBorders>
              <w:top w:val="single" w:color="5B9BD5" w:themeColor="accent1" w:sz="6" w:space="0"/>
              <w:left w:val="single" w:color="5B9BD5" w:themeColor="accent1" w:sz="6" w:space="0"/>
              <w:bottom w:val="single" w:color="5B9BD5" w:themeColor="accent1" w:sz="6" w:space="0"/>
              <w:right w:val="single" w:color="BDD6EE" w:themeColor="accent1" w:themeTint="66" w:sz="6" w:space="0"/>
            </w:tcBorders>
            <w:shd w:val="clear" w:color="auto" w:fill="5B9BD5" w:themeFill="accent1"/>
            <w:vAlign w:val="center"/>
          </w:tcPr>
          <w:p w14:paraId="440B72F8">
            <w:pPr>
              <w:pStyle w:val="14"/>
              <w:spacing w:line="219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pacing w:val="9"/>
                <w:sz w:val="21"/>
                <w:szCs w:val="21"/>
              </w:rPr>
              <w:t>检验项目</w:t>
            </w:r>
          </w:p>
        </w:tc>
        <w:tc>
          <w:tcPr>
            <w:tcW w:w="3550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3A8258C8">
            <w:pPr>
              <w:pStyle w:val="14"/>
              <w:spacing w:before="29" w:line="22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pacing w:val="3"/>
                <w:sz w:val="21"/>
                <w:szCs w:val="21"/>
              </w:rPr>
              <w:t>标准规定</w:t>
            </w:r>
          </w:p>
        </w:tc>
        <w:tc>
          <w:tcPr>
            <w:tcW w:w="3067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5B9BD5" w:themeColor="accent1" w:sz="6" w:space="0"/>
              <w:right w:val="single" w:color="BDD6EE" w:themeColor="accent1" w:themeTint="66" w:sz="6" w:space="0"/>
            </w:tcBorders>
            <w:shd w:val="clear" w:color="auto" w:fill="5B9BD5" w:themeFill="accent1"/>
            <w:vAlign w:val="center"/>
          </w:tcPr>
          <w:p w14:paraId="570A6771">
            <w:pPr>
              <w:pStyle w:val="14"/>
              <w:spacing w:line="215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pacing w:val="-2"/>
                <w:sz w:val="21"/>
                <w:szCs w:val="21"/>
              </w:rPr>
              <w:t>检验结果</w:t>
            </w:r>
          </w:p>
        </w:tc>
        <w:tc>
          <w:tcPr>
            <w:tcW w:w="1617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5B9BD5" w:themeColor="accent1" w:sz="6" w:space="0"/>
              <w:right w:val="single" w:color="BDD6EE" w:themeColor="accent1" w:themeTint="66" w:sz="6" w:space="0"/>
            </w:tcBorders>
            <w:shd w:val="clear" w:color="auto" w:fill="5B9BD5" w:themeFill="accent1"/>
            <w:vAlign w:val="center"/>
          </w:tcPr>
          <w:p w14:paraId="72D6723E">
            <w:pPr>
              <w:pStyle w:val="14"/>
              <w:spacing w:before="24" w:line="219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pacing w:val="-2"/>
                <w:sz w:val="21"/>
                <w:szCs w:val="21"/>
                <w:lang w:val="en-US" w:eastAsia="zh-CN"/>
              </w:rPr>
              <w:t>结论</w:t>
            </w:r>
          </w:p>
        </w:tc>
      </w:tr>
      <w:tr w14:paraId="5CCED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626" w:type="dxa"/>
            <w:tcBorders>
              <w:top w:val="single" w:color="5B9BD5" w:themeColor="accent1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623C6DB6">
            <w:pPr>
              <w:pStyle w:val="14"/>
              <w:spacing w:before="135" w:line="202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外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观</w:t>
            </w:r>
          </w:p>
        </w:tc>
        <w:tc>
          <w:tcPr>
            <w:tcW w:w="3550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40373384">
            <w:pPr>
              <w:pStyle w:val="14"/>
              <w:spacing w:before="102" w:line="229" w:lineRule="auto"/>
              <w:ind w:left="72" w:right="37" w:firstLine="19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透明澄清液体</w:t>
            </w:r>
          </w:p>
        </w:tc>
        <w:tc>
          <w:tcPr>
            <w:tcW w:w="3067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3342D501">
            <w:pPr>
              <w:pStyle w:val="14"/>
              <w:spacing w:before="103" w:line="238" w:lineRule="auto"/>
              <w:ind w:right="36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透明澄清液体</w:t>
            </w:r>
          </w:p>
        </w:tc>
        <w:tc>
          <w:tcPr>
            <w:tcW w:w="1617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0171635B">
            <w:pPr>
              <w:pStyle w:val="14"/>
              <w:spacing w:before="237" w:line="21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5EFD0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0E15EDCF">
            <w:pPr>
              <w:pStyle w:val="14"/>
              <w:spacing w:before="135" w:line="202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效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价</w:t>
            </w:r>
          </w:p>
        </w:tc>
        <w:tc>
          <w:tcPr>
            <w:tcW w:w="3550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173CEBAD">
            <w:pPr>
              <w:pStyle w:val="14"/>
              <w:spacing w:before="244" w:line="214" w:lineRule="auto"/>
              <w:ind w:left="72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＞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3000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8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Units/mg</w:t>
            </w:r>
          </w:p>
        </w:tc>
        <w:tc>
          <w:tcPr>
            <w:tcW w:w="306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346518B2">
            <w:pPr>
              <w:pStyle w:val="14"/>
              <w:spacing w:before="244" w:line="214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</w:rPr>
              <w:t>4581 Units/mg</w:t>
            </w:r>
          </w:p>
        </w:tc>
        <w:tc>
          <w:tcPr>
            <w:tcW w:w="161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5309F812">
            <w:pPr>
              <w:pStyle w:val="14"/>
              <w:spacing w:before="249" w:line="21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1B779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39FAC872">
            <w:pPr>
              <w:pStyle w:val="14"/>
              <w:spacing w:before="26" w:line="239" w:lineRule="auto"/>
              <w:ind w:right="135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7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3"/>
                <w:sz w:val="21"/>
                <w:szCs w:val="21"/>
              </w:rPr>
              <w:t>比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3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3"/>
                <w:sz w:val="21"/>
                <w:szCs w:val="21"/>
              </w:rPr>
              <w:t>活</w:t>
            </w:r>
          </w:p>
          <w:p w14:paraId="14213267">
            <w:pPr>
              <w:pStyle w:val="14"/>
              <w:spacing w:line="22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7"/>
                <w:sz w:val="21"/>
                <w:szCs w:val="21"/>
              </w:rPr>
              <w:t>蛋白质</w:t>
            </w:r>
          </w:p>
        </w:tc>
        <w:tc>
          <w:tcPr>
            <w:tcW w:w="3550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44D32973">
            <w:pPr>
              <w:pStyle w:val="14"/>
              <w:spacing w:before="25" w:line="214" w:lineRule="auto"/>
              <w:ind w:left="72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"/>
                <w:sz w:val="21"/>
                <w:szCs w:val="21"/>
              </w:rPr>
              <w:t xml:space="preserve">≥3800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Units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mg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of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protein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"/>
                <w:sz w:val="21"/>
                <w:szCs w:val="21"/>
              </w:rPr>
              <w:t>蛋白质</w:t>
            </w:r>
          </w:p>
          <w:p w14:paraId="0B87BF7E">
            <w:pPr>
              <w:pStyle w:val="14"/>
              <w:spacing w:before="65" w:line="222" w:lineRule="auto"/>
              <w:ind w:left="72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</w:rPr>
              <w:t>UV(280nm)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紫外-可见分光光度法</w:t>
            </w:r>
          </w:p>
        </w:tc>
        <w:tc>
          <w:tcPr>
            <w:tcW w:w="306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12467CBE">
            <w:pPr>
              <w:pStyle w:val="14"/>
              <w:spacing w:before="24" w:line="229" w:lineRule="auto"/>
              <w:ind w:left="96"/>
              <w:jc w:val="both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5"/>
                <w:sz w:val="21"/>
                <w:szCs w:val="21"/>
              </w:rPr>
              <w:t>5090 Units/mg of protein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7"/>
                <w:sz w:val="21"/>
                <w:szCs w:val="21"/>
              </w:rPr>
              <w:t>蛋白质</w:t>
            </w:r>
          </w:p>
          <w:p w14:paraId="0A1A189C">
            <w:pPr>
              <w:pStyle w:val="14"/>
              <w:spacing w:before="184" w:line="214" w:lineRule="auto"/>
              <w:ind w:left="96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</w:rPr>
              <w:t>0.900 mg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  <w:vertAlign w:val="superscript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</w:rPr>
              <w:t>/mg</w:t>
            </w:r>
          </w:p>
        </w:tc>
        <w:tc>
          <w:tcPr>
            <w:tcW w:w="161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17A47D19">
            <w:pPr>
              <w:spacing w:line="393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  <w:p w14:paraId="60638E11">
            <w:pPr>
              <w:pStyle w:val="14"/>
              <w:spacing w:before="65" w:line="218" w:lineRule="auto"/>
              <w:ind w:left="308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</w:p>
        </w:tc>
      </w:tr>
      <w:tr w14:paraId="42FA2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620895E8">
            <w:pPr>
              <w:pStyle w:val="14"/>
              <w:spacing w:before="135" w:line="202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纯  度</w:t>
            </w:r>
          </w:p>
        </w:tc>
        <w:tc>
          <w:tcPr>
            <w:tcW w:w="3550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4138C3C4">
            <w:pPr>
              <w:pStyle w:val="14"/>
              <w:spacing w:before="19" w:line="235" w:lineRule="auto"/>
              <w:ind w:right="949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β-胰蛋白酶不低于70%</w:t>
            </w:r>
          </w:p>
          <w:p w14:paraId="3B0CD19E">
            <w:pPr>
              <w:pStyle w:val="14"/>
              <w:spacing w:before="1" w:line="225" w:lineRule="auto"/>
              <w:ind w:right="949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α-胰蛋白酶不高于20%</w:t>
            </w:r>
          </w:p>
        </w:tc>
        <w:tc>
          <w:tcPr>
            <w:tcW w:w="306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228686FA">
            <w:pPr>
              <w:pStyle w:val="14"/>
              <w:spacing w:before="194" w:line="239" w:lineRule="auto"/>
              <w:ind w:left="96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</w:rPr>
              <w:t>80.7%</w:t>
            </w:r>
          </w:p>
          <w:p w14:paraId="0A098234">
            <w:pPr>
              <w:pStyle w:val="14"/>
              <w:spacing w:before="231" w:line="239" w:lineRule="auto"/>
              <w:ind w:left="96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4"/>
                <w:sz w:val="21"/>
                <w:szCs w:val="21"/>
              </w:rPr>
              <w:t>16.6%</w:t>
            </w:r>
          </w:p>
        </w:tc>
        <w:tc>
          <w:tcPr>
            <w:tcW w:w="161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48C969F1">
            <w:pPr>
              <w:spacing w:line="376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  <w:p w14:paraId="2A84040E">
            <w:pPr>
              <w:pStyle w:val="14"/>
              <w:spacing w:before="65"/>
              <w:ind w:left="358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</w:p>
        </w:tc>
      </w:tr>
      <w:tr w14:paraId="0B040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2549F42E">
            <w:pPr>
              <w:pStyle w:val="14"/>
              <w:spacing w:before="135" w:line="202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细菌内毒素</w:t>
            </w:r>
          </w:p>
        </w:tc>
        <w:tc>
          <w:tcPr>
            <w:tcW w:w="3550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A405FB5">
            <w:pPr>
              <w:pStyle w:val="14"/>
              <w:spacing w:before="251" w:line="224" w:lineRule="auto"/>
              <w:ind w:left="72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0.5 EU/40U</w:t>
            </w:r>
          </w:p>
        </w:tc>
        <w:tc>
          <w:tcPr>
            <w:tcW w:w="306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24AF35E6">
            <w:pPr>
              <w:pStyle w:val="14"/>
              <w:spacing w:before="251" w:line="224" w:lineRule="auto"/>
              <w:ind w:left="96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0.5 EU/40U</w:t>
            </w:r>
          </w:p>
        </w:tc>
        <w:tc>
          <w:tcPr>
            <w:tcW w:w="161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2582DB2E">
            <w:pPr>
              <w:pStyle w:val="14"/>
              <w:spacing w:before="240" w:line="214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5E824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0CEF81C9">
            <w:pPr>
              <w:pStyle w:val="14"/>
              <w:spacing w:before="126" w:line="216" w:lineRule="auto"/>
              <w:ind w:right="313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 xml:space="preserve">  微生物限度</w:t>
            </w:r>
          </w:p>
        </w:tc>
        <w:tc>
          <w:tcPr>
            <w:tcW w:w="3550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682AF0C">
            <w:pPr>
              <w:pStyle w:val="14"/>
              <w:spacing w:before="250" w:line="214" w:lineRule="auto"/>
              <w:ind w:left="72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3"/>
                <w:sz w:val="21"/>
                <w:szCs w:val="21"/>
              </w:rPr>
              <w:t>≤100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2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3"/>
                <w:sz w:val="21"/>
                <w:szCs w:val="21"/>
              </w:rPr>
              <w:t>CFU/70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7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3"/>
                <w:sz w:val="21"/>
                <w:szCs w:val="21"/>
              </w:rPr>
              <w:t>mg</w:t>
            </w:r>
          </w:p>
        </w:tc>
        <w:tc>
          <w:tcPr>
            <w:tcW w:w="306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6B17BF5C">
            <w:pPr>
              <w:pStyle w:val="14"/>
              <w:spacing w:before="250" w:line="214" w:lineRule="auto"/>
              <w:ind w:left="96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1 CFU/70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mg</w:t>
            </w:r>
          </w:p>
        </w:tc>
        <w:tc>
          <w:tcPr>
            <w:tcW w:w="161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581093BA">
            <w:pPr>
              <w:pStyle w:val="14"/>
              <w:spacing w:before="252" w:line="215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48AEE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5B9BD5" w:themeColor="accent1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 w14:paraId="37C80B86">
            <w:pPr>
              <w:pStyle w:val="14"/>
              <w:spacing w:before="2" w:line="221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结</w:t>
            </w:r>
            <w:r>
              <w:rPr>
                <w:rFonts w:hint="eastAsia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论</w:t>
            </w:r>
          </w:p>
        </w:tc>
        <w:tc>
          <w:tcPr>
            <w:tcW w:w="8234" w:type="dxa"/>
            <w:gridSpan w:val="3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5809F7A">
            <w:pPr>
              <w:pStyle w:val="14"/>
              <w:spacing w:before="2" w:line="221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符合质量标准文件的标准</w:t>
            </w:r>
          </w:p>
        </w:tc>
      </w:tr>
    </w:tbl>
    <w:p w14:paraId="48AE74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检验员：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 xml:space="preserve">                                          复核人：</w:t>
      </w:r>
    </w:p>
    <w:p w14:paraId="2177FB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日期：</w:t>
      </w:r>
    </w:p>
    <w:p w14:paraId="28AC98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righ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上海易算生物科技有限公司</w:t>
      </w:r>
    </w:p>
    <w:p w14:paraId="2AB43E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463" w:bottom="1440" w:left="1463" w:header="85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6B4F2">
    <w:pPr>
      <w:pStyle w:val="6"/>
      <w:jc w:val="center"/>
      <w:rPr>
        <w:rFonts w:hint="eastAsia" w:ascii="宋体" w:hAnsi="宋体" w:eastAsia="宋体" w:cs="宋体"/>
        <w:b/>
        <w:bCs/>
        <w:sz w:val="18"/>
        <w:szCs w:val="18"/>
        <w:lang w:val="en-US"/>
      </w:rPr>
    </w:pPr>
    <w:r>
      <w:rPr>
        <w:rFonts w:hint="eastAsia" w:ascii="宋体" w:hAnsi="宋体" w:eastAsia="宋体" w:cs="宋体"/>
        <w:b/>
        <w:bCs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4004310</wp:posOffset>
          </wp:positionH>
          <wp:positionV relativeFrom="page">
            <wp:posOffset>5561965</wp:posOffset>
          </wp:positionV>
          <wp:extent cx="3542030" cy="5120640"/>
          <wp:effectExtent l="0" t="0" r="1270" b="381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/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3542030" cy="512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B42014">
                          <w:pPr>
                            <w:pStyle w:val="6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- 1 -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B42014">
                    <w:pPr>
                      <w:pStyle w:val="6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- 1 -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bCs/>
        <w:color w:val="auto"/>
        <w:sz w:val="18"/>
        <w:szCs w:val="18"/>
        <w:lang w:val="en-US" w:eastAsia="zh-CN"/>
      </w:rPr>
      <w:t>上海易算生物科技有限公司      邮箱：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instrText xml:space="preserve"> HYPERLINK "mailto:support@omicsolution.com" </w:instrTex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separate"/>
    </w:r>
    <w:r>
      <w:rPr>
        <w:rStyle w:val="12"/>
        <w:rFonts w:hint="eastAsia" w:ascii="宋体" w:hAnsi="宋体" w:eastAsia="宋体" w:cs="宋体"/>
        <w:b/>
        <w:bCs/>
        <w:sz w:val="18"/>
        <w:szCs w:val="18"/>
        <w:lang w:val="en-US" w:eastAsia="zh-CN"/>
      </w:rPr>
      <w:t>support@omicsolution.com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488C6">
    <w:pPr>
      <w:pStyle w:val="7"/>
      <w:pBdr>
        <w:bottom w:val="thinThickMediumGap" w:color="auto" w:sz="18" w:space="1"/>
      </w:pBdr>
      <w:rPr>
        <w:rFonts w:hint="eastAsia"/>
        <w:lang w:eastAsia="zh-CN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2713355</wp:posOffset>
          </wp:positionH>
          <wp:positionV relativeFrom="paragraph">
            <wp:posOffset>-299085</wp:posOffset>
          </wp:positionV>
          <wp:extent cx="2524760" cy="436880"/>
          <wp:effectExtent l="0" t="0" r="5080" b="5080"/>
          <wp:wrapSquare wrapText="bothSides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4760" cy="436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2035810" cy="2941320"/>
          <wp:effectExtent l="0" t="0" r="2540" b="190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/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5810" cy="294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195195" cy="379730"/>
          <wp:effectExtent l="0" t="675005" r="0" b="697865"/>
          <wp:wrapNone/>
          <wp:docPr id="7" name="WordPictureWatermark3785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37858" descr="logo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2195195" cy="379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72B005"/>
    <w:multiLevelType w:val="singleLevel"/>
    <w:tmpl w:val="D172B005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3201647"/>
    <w:multiLevelType w:val="singleLevel"/>
    <w:tmpl w:val="7320164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47C8753F"/>
    <w:rsid w:val="01075CF7"/>
    <w:rsid w:val="02446E5F"/>
    <w:rsid w:val="059F2961"/>
    <w:rsid w:val="08AE04BC"/>
    <w:rsid w:val="0A134A32"/>
    <w:rsid w:val="0A8031C7"/>
    <w:rsid w:val="0D5132EE"/>
    <w:rsid w:val="0E9757F0"/>
    <w:rsid w:val="0EEB6C0C"/>
    <w:rsid w:val="0F7836C8"/>
    <w:rsid w:val="0FDF369E"/>
    <w:rsid w:val="104A57CB"/>
    <w:rsid w:val="12FD2773"/>
    <w:rsid w:val="1A706231"/>
    <w:rsid w:val="1F1F3E04"/>
    <w:rsid w:val="225E436D"/>
    <w:rsid w:val="232C5010"/>
    <w:rsid w:val="233277D2"/>
    <w:rsid w:val="25D31731"/>
    <w:rsid w:val="271E68EA"/>
    <w:rsid w:val="2A1B33C4"/>
    <w:rsid w:val="2B21020B"/>
    <w:rsid w:val="2C5F4657"/>
    <w:rsid w:val="2EC15E6E"/>
    <w:rsid w:val="3017442A"/>
    <w:rsid w:val="3099469E"/>
    <w:rsid w:val="31207743"/>
    <w:rsid w:val="32C27BFA"/>
    <w:rsid w:val="330D3EE2"/>
    <w:rsid w:val="35B052B6"/>
    <w:rsid w:val="38C169DE"/>
    <w:rsid w:val="38DF39E6"/>
    <w:rsid w:val="39C94DFC"/>
    <w:rsid w:val="3CC75BB8"/>
    <w:rsid w:val="3F635F92"/>
    <w:rsid w:val="3FF47036"/>
    <w:rsid w:val="44B21045"/>
    <w:rsid w:val="45C05AD2"/>
    <w:rsid w:val="463E7803"/>
    <w:rsid w:val="46DA2348"/>
    <w:rsid w:val="47C8753F"/>
    <w:rsid w:val="483C0A95"/>
    <w:rsid w:val="48673DCF"/>
    <w:rsid w:val="49A36DCB"/>
    <w:rsid w:val="4A6C51FB"/>
    <w:rsid w:val="4B995737"/>
    <w:rsid w:val="4C986E85"/>
    <w:rsid w:val="4D751BF6"/>
    <w:rsid w:val="4DAE08AE"/>
    <w:rsid w:val="507F399C"/>
    <w:rsid w:val="529C7AE0"/>
    <w:rsid w:val="55A935AE"/>
    <w:rsid w:val="584E02E8"/>
    <w:rsid w:val="5ACF6A38"/>
    <w:rsid w:val="5C337192"/>
    <w:rsid w:val="60986209"/>
    <w:rsid w:val="627F5B95"/>
    <w:rsid w:val="62A74FA7"/>
    <w:rsid w:val="638731A6"/>
    <w:rsid w:val="697021CC"/>
    <w:rsid w:val="6E7E3557"/>
    <w:rsid w:val="734E19ED"/>
    <w:rsid w:val="767B4F1E"/>
    <w:rsid w:val="76D52398"/>
    <w:rsid w:val="78F511B3"/>
    <w:rsid w:val="7A96753D"/>
    <w:rsid w:val="7D00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1"/>
    <w:rPr>
      <w:rFonts w:ascii="等线" w:hAnsi="等线" w:eastAsia="等线" w:cs="等线"/>
      <w:sz w:val="21"/>
      <w:szCs w:val="21"/>
      <w:lang w:val="fr-FR" w:eastAsia="fr-FR" w:bidi="fr-F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800</Words>
  <Characters>1036</Characters>
  <Lines>0</Lines>
  <Paragraphs>0</Paragraphs>
  <TotalTime>0</TotalTime>
  <ScaleCrop>false</ScaleCrop>
  <LinksUpToDate>false</LinksUpToDate>
  <CharactersWithSpaces>1126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2021-08-16T14:23:00Z</dcterms:created>
  <dc:creator>寻路人</dc:creator>
  <cp:lastModifiedBy>＄@＃</cp:lastModifiedBy>
  <cp:lastPrinted>2025-01-13T05:10:00Z</cp:lastPrinted>
  <dcterms:modified xsi:type="dcterms:W3CDTF">2026-06-10T01:40:48Z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926569E608C84B4A8504AE8241E277DE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