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BAADC">
      <w:pPr>
        <w:jc w:val="center"/>
        <w:rPr>
          <w:rFonts w:hint="eastAsia" w:ascii="微软雅黑" w:hAnsi="微软雅黑" w:eastAsia="微软雅黑" w:cs="微软雅黑"/>
          <w:b/>
          <w:bCs/>
          <w:sz w:val="32"/>
          <w:szCs w:val="32"/>
        </w:rPr>
      </w:pPr>
      <w:bookmarkStart w:id="0" w:name="_GoBack"/>
      <w:bookmarkEnd w:id="0"/>
      <w:r>
        <w:rPr>
          <w:rFonts w:hint="default" w:ascii="Times New Roman" w:hAnsi="Times New Roman" w:eastAsia="微软雅黑" w:cs="Times New Roman"/>
          <w:b/>
          <w:bCs/>
          <w:sz w:val="32"/>
          <w:szCs w:val="32"/>
        </w:rPr>
        <w:t>易肽</w:t>
      </w:r>
      <w:r>
        <w:rPr>
          <w:rFonts w:hint="default" w:ascii="Times New Roman" w:hAnsi="Times New Roman" w:eastAsia="微软雅黑" w:cs="Times New Roman"/>
          <w:b/>
          <w:bCs/>
          <w:sz w:val="32"/>
          <w:szCs w:val="32"/>
          <w:lang w:val="en-US" w:eastAsia="zh-CN"/>
        </w:rPr>
        <w:t>Micro</w:t>
      </w:r>
      <w:r>
        <w:rPr>
          <w:rFonts w:hint="default" w:ascii="Times New Roman" w:hAnsi="Times New Roman" w:eastAsia="微软雅黑" w:cs="Times New Roman"/>
          <w:b/>
          <w:bCs/>
          <w:sz w:val="32"/>
          <w:szCs w:val="32"/>
        </w:rPr>
        <w:t>前处理制备试剂盒</w:t>
      </w:r>
    </w:p>
    <w:p w14:paraId="70627727">
      <w:pPr>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 xml:space="preserve">货号：OSFP0001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4</w:t>
      </w:r>
      <w:r>
        <w:rPr>
          <w:rFonts w:hint="default" w:ascii="Times New Roman" w:hAnsi="Times New Roman" w:eastAsia="微软雅黑" w:cs="Times New Roman"/>
          <w:lang w:val="en-US" w:eastAsia="zh-CN"/>
        </w:rPr>
        <w:t>8x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7513470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5"/>
        <w:gridCol w:w="1520"/>
        <w:gridCol w:w="4015"/>
        <w:gridCol w:w="1781"/>
      </w:tblGrid>
      <w:tr w14:paraId="0357D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5" w:type="pct"/>
            <w:tcBorders>
              <w:top w:val="single" w:color="auto" w:sz="6" w:space="0"/>
              <w:bottom w:val="single" w:color="auto" w:sz="6" w:space="0"/>
            </w:tcBorders>
            <w:noWrap w:val="0"/>
            <w:vAlign w:val="center"/>
          </w:tcPr>
          <w:p w14:paraId="4B3288E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69" w:type="pct"/>
            <w:tcBorders>
              <w:top w:val="single" w:color="auto" w:sz="6" w:space="0"/>
              <w:bottom w:val="single" w:color="auto" w:sz="6" w:space="0"/>
            </w:tcBorders>
            <w:noWrap w:val="0"/>
            <w:vAlign w:val="center"/>
          </w:tcPr>
          <w:p w14:paraId="0B8DCCF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296" w:type="pct"/>
            <w:tcBorders>
              <w:top w:val="single" w:color="auto" w:sz="6" w:space="0"/>
              <w:bottom w:val="single" w:color="auto" w:sz="6" w:space="0"/>
            </w:tcBorders>
            <w:noWrap w:val="0"/>
            <w:vAlign w:val="center"/>
          </w:tcPr>
          <w:p w14:paraId="2B940C9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1018" w:type="pct"/>
            <w:tcBorders>
              <w:top w:val="single" w:color="auto" w:sz="6" w:space="0"/>
              <w:bottom w:val="single" w:color="auto" w:sz="6" w:space="0"/>
            </w:tcBorders>
            <w:noWrap w:val="0"/>
            <w:vAlign w:val="center"/>
          </w:tcPr>
          <w:p w14:paraId="504DF24B">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1AFBF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5" w:type="pct"/>
            <w:tcBorders>
              <w:top w:val="nil"/>
              <w:bottom w:val="nil"/>
            </w:tcBorders>
            <w:noWrap w:val="0"/>
            <w:vAlign w:val="center"/>
          </w:tcPr>
          <w:p w14:paraId="2BA300A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b w:val="0"/>
                <w:bCs w:val="0"/>
                <w:color w:val="FDF731"/>
                <w:sz w:val="18"/>
                <w:szCs w:val="18"/>
                <w:vertAlign w:val="baseline"/>
                <w:lang w:val="en-US" w:eastAsia="zh-CN"/>
              </w:rPr>
              <w:t>●</w:t>
            </w:r>
            <w:r>
              <w:rPr>
                <w:rFonts w:hint="default" w:ascii="Times New Roman" w:hAnsi="Times New Roman" w:eastAsia="微软雅黑" w:cs="Times New Roman"/>
                <w:color w:val="FDF731"/>
                <w:sz w:val="18"/>
                <w:szCs w:val="18"/>
              </w:rPr>
              <w:t xml:space="preserve"> </w:t>
            </w:r>
          </w:p>
        </w:tc>
        <w:tc>
          <w:tcPr>
            <w:tcW w:w="869" w:type="pct"/>
            <w:tcBorders>
              <w:top w:val="nil"/>
              <w:bottom w:val="nil"/>
            </w:tcBorders>
            <w:noWrap w:val="0"/>
            <w:vAlign w:val="center"/>
          </w:tcPr>
          <w:p w14:paraId="58EB85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6</w:t>
            </w:r>
          </w:p>
        </w:tc>
        <w:tc>
          <w:tcPr>
            <w:tcW w:w="2296" w:type="pct"/>
            <w:tcBorders>
              <w:top w:val="nil"/>
              <w:bottom w:val="nil"/>
            </w:tcBorders>
            <w:noWrap w:val="0"/>
            <w:vAlign w:val="center"/>
          </w:tcPr>
          <w:p w14:paraId="44E9A0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highlight w:val="none"/>
                <w:vertAlign w:val="baseline"/>
                <w:lang w:val="en-US" w:eastAsia="zh-CN"/>
              </w:rPr>
              <w:t>裂解液，用于蛋白裂解</w:t>
            </w:r>
          </w:p>
        </w:tc>
        <w:tc>
          <w:tcPr>
            <w:tcW w:w="1018" w:type="pct"/>
            <w:tcBorders>
              <w:top w:val="nil"/>
              <w:bottom w:val="nil"/>
            </w:tcBorders>
            <w:noWrap w:val="0"/>
            <w:vAlign w:val="center"/>
          </w:tcPr>
          <w:p w14:paraId="0383B0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7035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5" w:type="pct"/>
            <w:tcBorders>
              <w:top w:val="nil"/>
              <w:bottom w:val="nil"/>
            </w:tcBorders>
            <w:noWrap w:val="0"/>
            <w:vAlign w:val="center"/>
          </w:tcPr>
          <w:p w14:paraId="2A5210E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69" w:type="pct"/>
            <w:tcBorders>
              <w:top w:val="nil"/>
              <w:bottom w:val="nil"/>
            </w:tcBorders>
            <w:noWrap w:val="0"/>
            <w:vAlign w:val="center"/>
          </w:tcPr>
          <w:p w14:paraId="019B8F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180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6</w:t>
            </w:r>
          </w:p>
        </w:tc>
        <w:tc>
          <w:tcPr>
            <w:tcW w:w="2296" w:type="pct"/>
            <w:tcBorders>
              <w:top w:val="nil"/>
              <w:bottom w:val="nil"/>
            </w:tcBorders>
            <w:noWrap w:val="0"/>
            <w:vAlign w:val="center"/>
          </w:tcPr>
          <w:p w14:paraId="555034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default" w:ascii="Times New Roman" w:hAnsi="Times New Roman" w:eastAsia="微软雅黑" w:cs="Times New Roman"/>
                <w:b w:val="0"/>
                <w:bCs w:val="0"/>
                <w:sz w:val="18"/>
                <w:szCs w:val="18"/>
                <w:vertAlign w:val="baseline"/>
                <w:lang w:val="en-US" w:eastAsia="zh-CN"/>
              </w:rPr>
              <w:t>还原烷基化，用于</w:t>
            </w:r>
            <w:r>
              <w:rPr>
                <w:rFonts w:hint="eastAsia" w:ascii="Times New Roman" w:hAnsi="Times New Roman" w:eastAsia="微软雅黑" w:cs="Times New Roman"/>
                <w:b w:val="0"/>
                <w:bCs w:val="0"/>
                <w:sz w:val="18"/>
                <w:szCs w:val="18"/>
                <w:vertAlign w:val="baseline"/>
                <w:lang w:val="en-US" w:eastAsia="zh-CN"/>
              </w:rPr>
              <w:t>蛋白质的还原烷基化</w:t>
            </w:r>
          </w:p>
        </w:tc>
        <w:tc>
          <w:tcPr>
            <w:tcW w:w="1018" w:type="pct"/>
            <w:tcBorders>
              <w:top w:val="nil"/>
              <w:bottom w:val="nil"/>
            </w:tcBorders>
            <w:noWrap w:val="0"/>
            <w:vAlign w:val="center"/>
          </w:tcPr>
          <w:p w14:paraId="387DA8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34B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5" w:type="pct"/>
            <w:tcBorders>
              <w:top w:val="nil"/>
              <w:bottom w:val="nil"/>
            </w:tcBorders>
            <w:noWrap w:val="0"/>
            <w:vAlign w:val="center"/>
          </w:tcPr>
          <w:p w14:paraId="5B6D2C0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p>
        </w:tc>
        <w:tc>
          <w:tcPr>
            <w:tcW w:w="869" w:type="pct"/>
            <w:tcBorders>
              <w:top w:val="nil"/>
              <w:bottom w:val="nil"/>
            </w:tcBorders>
            <w:noWrap w:val="0"/>
            <w:vAlign w:val="center"/>
          </w:tcPr>
          <w:p w14:paraId="73ABDA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140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6</w:t>
            </w:r>
          </w:p>
        </w:tc>
        <w:tc>
          <w:tcPr>
            <w:tcW w:w="2296" w:type="pct"/>
            <w:tcBorders>
              <w:top w:val="nil"/>
              <w:bottom w:val="nil"/>
            </w:tcBorders>
            <w:noWrap w:val="0"/>
            <w:vAlign w:val="center"/>
          </w:tcPr>
          <w:p w14:paraId="1C2A74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1018" w:type="pct"/>
            <w:tcBorders>
              <w:top w:val="nil"/>
              <w:bottom w:val="nil"/>
            </w:tcBorders>
            <w:noWrap w:val="0"/>
            <w:vAlign w:val="center"/>
          </w:tcPr>
          <w:p w14:paraId="301084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3F6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815" w:type="pct"/>
            <w:tcBorders>
              <w:top w:val="nil"/>
              <w:bottom w:val="nil"/>
            </w:tcBorders>
            <w:noWrap w:val="0"/>
            <w:vAlign w:val="center"/>
          </w:tcPr>
          <w:p w14:paraId="3B31740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69" w:type="pct"/>
            <w:tcBorders>
              <w:top w:val="nil"/>
              <w:bottom w:val="nil"/>
            </w:tcBorders>
            <w:noWrap w:val="0"/>
            <w:vAlign w:val="center"/>
          </w:tcPr>
          <w:p w14:paraId="7A97D2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40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6</w:t>
            </w:r>
          </w:p>
        </w:tc>
        <w:tc>
          <w:tcPr>
            <w:tcW w:w="2296" w:type="pct"/>
            <w:tcBorders>
              <w:top w:val="nil"/>
              <w:bottom w:val="nil"/>
            </w:tcBorders>
            <w:noWrap w:val="0"/>
            <w:vAlign w:val="center"/>
          </w:tcPr>
          <w:p w14:paraId="53AE1871">
            <w:pPr>
              <w:keepNext w:val="0"/>
              <w:keepLines w:val="0"/>
              <w:widowControl/>
              <w:suppressLineNumbers w:val="0"/>
              <w:jc w:val="center"/>
              <w:rPr>
                <w:rFonts w:hint="default" w:ascii="Times New Roman" w:hAnsi="Times New Roman" w:eastAsia="微软雅黑" w:cs="Times New Roman"/>
                <w:sz w:val="18"/>
                <w:szCs w:val="18"/>
              </w:rPr>
            </w:pPr>
            <w:r>
              <w:rPr>
                <w:rFonts w:ascii="微软雅黑" w:hAnsi="微软雅黑" w:eastAsia="微软雅黑" w:cs="微软雅黑"/>
                <w:color w:val="000000"/>
                <w:kern w:val="0"/>
                <w:sz w:val="18"/>
                <w:szCs w:val="18"/>
                <w:lang w:val="en-US" w:eastAsia="zh-CN" w:bidi="ar"/>
              </w:rPr>
              <w:t>终止试剂，终止酶解反应</w:t>
            </w:r>
          </w:p>
        </w:tc>
        <w:tc>
          <w:tcPr>
            <w:tcW w:w="1018" w:type="pct"/>
            <w:tcBorders>
              <w:top w:val="nil"/>
              <w:bottom w:val="nil"/>
            </w:tcBorders>
            <w:noWrap w:val="0"/>
            <w:vAlign w:val="center"/>
          </w:tcPr>
          <w:p w14:paraId="333591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3AD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15" w:type="pct"/>
            <w:tcBorders>
              <w:top w:val="nil"/>
              <w:bottom w:val="nil"/>
            </w:tcBorders>
            <w:noWrap w:val="0"/>
            <w:vAlign w:val="center"/>
          </w:tcPr>
          <w:p w14:paraId="29B7C3E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Cartridge</w:t>
            </w:r>
          </w:p>
        </w:tc>
        <w:tc>
          <w:tcPr>
            <w:tcW w:w="869" w:type="pct"/>
            <w:tcBorders>
              <w:top w:val="nil"/>
              <w:bottom w:val="nil"/>
            </w:tcBorders>
            <w:noWrap w:val="0"/>
            <w:vAlign w:val="center"/>
          </w:tcPr>
          <w:p w14:paraId="5DF2B1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20μg载量*</w:t>
            </w:r>
            <w:r>
              <w:rPr>
                <w:rFonts w:hint="eastAsia" w:ascii="Times New Roman" w:hAnsi="Times New Roman" w:eastAsia="微软雅黑" w:cs="Times New Roman"/>
                <w:b w:val="0"/>
                <w:bCs w:val="0"/>
                <w:sz w:val="18"/>
                <w:szCs w:val="18"/>
                <w:vertAlign w:val="baseline"/>
                <w:lang w:val="en-US" w:eastAsia="zh-CN"/>
              </w:rPr>
              <w:t>48</w:t>
            </w:r>
          </w:p>
        </w:tc>
        <w:tc>
          <w:tcPr>
            <w:tcW w:w="2296" w:type="pct"/>
            <w:tcBorders>
              <w:top w:val="nil"/>
              <w:bottom w:val="nil"/>
            </w:tcBorders>
            <w:noWrap w:val="0"/>
            <w:vAlign w:val="center"/>
          </w:tcPr>
          <w:p w14:paraId="03DC75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1018" w:type="pct"/>
            <w:tcBorders>
              <w:top w:val="nil"/>
              <w:bottom w:val="nil"/>
            </w:tcBorders>
            <w:noWrap w:val="0"/>
            <w:vAlign w:val="center"/>
          </w:tcPr>
          <w:p w14:paraId="56D74B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1D41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425" w:type="dxa"/>
            <w:tcBorders>
              <w:top w:val="nil"/>
              <w:bottom w:val="single" w:color="000000" w:sz="8" w:space="0"/>
            </w:tcBorders>
            <w:noWrap w:val="0"/>
            <w:vAlign w:val="center"/>
          </w:tcPr>
          <w:p w14:paraId="497754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Adaptor</w:t>
            </w:r>
          </w:p>
        </w:tc>
        <w:tc>
          <w:tcPr>
            <w:tcW w:w="1520" w:type="dxa"/>
            <w:tcBorders>
              <w:top w:val="nil"/>
              <w:bottom w:val="single" w:color="000000" w:sz="8" w:space="0"/>
            </w:tcBorders>
            <w:noWrap w:val="0"/>
            <w:vAlign w:val="center"/>
          </w:tcPr>
          <w:p w14:paraId="658393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24</w:t>
            </w:r>
          </w:p>
        </w:tc>
        <w:tc>
          <w:tcPr>
            <w:tcW w:w="4015" w:type="dxa"/>
            <w:tcBorders>
              <w:top w:val="nil"/>
              <w:bottom w:val="single" w:color="000000" w:sz="8" w:space="0"/>
            </w:tcBorders>
            <w:noWrap w:val="0"/>
            <w:vAlign w:val="center"/>
          </w:tcPr>
          <w:p w14:paraId="06E7CC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除盐适配器</w:t>
            </w:r>
            <w:r>
              <w:rPr>
                <w:rFonts w:hint="eastAsia" w:ascii="Times New Roman" w:hAnsi="Times New Roman" w:eastAsia="微软雅黑" w:cs="Times New Roman"/>
                <w:sz w:val="18"/>
                <w:szCs w:val="18"/>
                <w:lang w:val="en-US" w:eastAsia="zh-CN"/>
              </w:rPr>
              <w:t>（仅在首次购买试剂盒时附赠）</w:t>
            </w:r>
          </w:p>
        </w:tc>
        <w:tc>
          <w:tcPr>
            <w:tcW w:w="1781" w:type="dxa"/>
            <w:tcBorders>
              <w:top w:val="nil"/>
              <w:bottom w:val="single" w:color="000000" w:sz="8" w:space="0"/>
            </w:tcBorders>
            <w:noWrap w:val="0"/>
            <w:vAlign w:val="center"/>
          </w:tcPr>
          <w:p w14:paraId="54B303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bl>
    <w:p w14:paraId="293F6DAF">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2589DFE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6EDDCE2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589546C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w:t>
      </w:r>
      <w:r>
        <w:rPr>
          <w:rFonts w:hint="default" w:ascii="Times New Roman" w:hAnsi="Times New Roman" w:eastAsia="微软雅黑" w:cs="Times New Roman"/>
          <w:lang w:val="en-US" w:eastAsia="zh-CN"/>
        </w:rPr>
        <w:t>Micro</w:t>
      </w:r>
      <w:r>
        <w:rPr>
          <w:rFonts w:hint="eastAsia" w:ascii="微软雅黑" w:hAnsi="微软雅黑" w:eastAsia="微软雅黑" w:cs="微软雅黑"/>
          <w:lang w:val="en-US" w:eastAsia="zh-CN"/>
        </w:rPr>
        <w:t>前处理制备试剂盒旨在以较少的样品制备步骤和较短的操作时间以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操作方便且平行性好，以实现微量蛋白的快速制备及蛋白质组深度覆盖检测。</w:t>
      </w:r>
    </w:p>
    <w:p w14:paraId="6CDA45E6">
      <w:pPr>
        <w:jc w:val="center"/>
        <w:rPr>
          <w:rFonts w:hint="eastAsia" w:ascii="微软雅黑" w:hAnsi="微软雅黑" w:eastAsia="微软雅黑" w:cs="微软雅黑"/>
          <w:lang w:val="en-US" w:eastAsia="zh-CN"/>
        </w:rPr>
      </w:pPr>
      <w:r>
        <w:drawing>
          <wp:inline distT="0" distB="0" distL="114300" distR="114300">
            <wp:extent cx="5474335" cy="1942465"/>
            <wp:effectExtent l="0" t="0" r="0" b="63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6"/>
                    <a:stretch>
                      <a:fillRect/>
                    </a:stretch>
                  </pic:blipFill>
                  <pic:spPr>
                    <a:xfrm>
                      <a:off x="0" y="0"/>
                      <a:ext cx="5474335" cy="1942465"/>
                    </a:xfrm>
                    <a:prstGeom prst="rect">
                      <a:avLst/>
                    </a:prstGeom>
                    <a:noFill/>
                    <a:ln>
                      <a:noFill/>
                    </a:ln>
                  </pic:spPr>
                </pic:pic>
              </a:graphicData>
            </a:graphic>
          </wp:inline>
        </w:drawing>
      </w:r>
    </w:p>
    <w:p w14:paraId="1C6CECE4">
      <w:pPr>
        <w:jc w:val="left"/>
        <w:rPr>
          <w:rFonts w:hint="eastAsia" w:ascii="Times New Roman" w:hAnsi="Times New Roman" w:eastAsia="微软雅黑" w:cs="Times New Roman"/>
          <w:sz w:val="18"/>
          <w:szCs w:val="18"/>
          <w:lang w:val="en-US" w:eastAsia="zh-CN"/>
        </w:rPr>
      </w:pPr>
    </w:p>
    <w:p w14:paraId="1A1CA2E7">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25C89914">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47"/>
        <w:gridCol w:w="5693"/>
      </w:tblGrid>
      <w:tr w14:paraId="4791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29440B9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4EE80D6B">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22178635">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6028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6DDFC77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6E3D2B4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7D794BA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59AE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0D5EE00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77017A2C">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335D4516">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9A7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2347BC49">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15389A3E">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41325" cy="784860"/>
                  <wp:effectExtent l="0" t="0" r="15875" b="1524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9"/>
                          <a:stretch>
                            <a:fillRect/>
                          </a:stretch>
                        </pic:blipFill>
                        <pic:spPr>
                          <a:xfrm>
                            <a:off x="0" y="0"/>
                            <a:ext cx="441325" cy="784860"/>
                          </a:xfrm>
                          <a:prstGeom prst="rect">
                            <a:avLst/>
                          </a:prstGeom>
                          <a:noFill/>
                          <a:ln>
                            <a:noFill/>
                          </a:ln>
                        </pic:spPr>
                      </pic:pic>
                    </a:graphicData>
                  </a:graphic>
                </wp:inline>
              </w:drawing>
            </w:r>
          </w:p>
        </w:tc>
        <w:tc>
          <w:tcPr>
            <w:tcW w:w="3256" w:type="pct"/>
            <w:tcBorders>
              <w:top w:val="nil"/>
              <w:bottom w:val="nil"/>
            </w:tcBorders>
            <w:noWrap w:val="0"/>
            <w:vAlign w:val="center"/>
          </w:tcPr>
          <w:p w14:paraId="172607E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2510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313F2D7B">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6A0B9DE7">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7B3D22C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571D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73" w:type="pct"/>
            <w:tcBorders>
              <w:top w:val="nil"/>
              <w:bottom w:val="single" w:color="auto" w:sz="4" w:space="0"/>
            </w:tcBorders>
            <w:noWrap w:val="0"/>
            <w:vAlign w:val="center"/>
          </w:tcPr>
          <w:p w14:paraId="15D9DE8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55AAD6A3">
            <w:pPr>
              <w:spacing w:line="240" w:lineRule="auto"/>
              <w:jc w:val="left"/>
              <w:rPr>
                <w:rFonts w:ascii="Times New Roman" w:hAnsi="Times New Roman" w:eastAsia="微软雅黑" w:cs="Times New Roman"/>
                <w:sz w:val="18"/>
                <w:szCs w:val="18"/>
              </w:rPr>
            </w:pPr>
          </w:p>
        </w:tc>
        <w:tc>
          <w:tcPr>
            <w:tcW w:w="3256" w:type="pct"/>
            <w:tcBorders>
              <w:top w:val="nil"/>
              <w:bottom w:val="single" w:color="auto" w:sz="4" w:space="0"/>
            </w:tcBorders>
            <w:noWrap w:val="0"/>
            <w:vAlign w:val="center"/>
          </w:tcPr>
          <w:p w14:paraId="157D68F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AB0615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26A54936">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71D19EF8">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4881DF33">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09423A4A">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17FB8C6D">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42C23AD1">
      <w:pPr>
        <w:widowControl/>
        <w:spacing w:line="240" w:lineRule="auto"/>
        <w:jc w:val="left"/>
        <w:rPr>
          <w:rFonts w:ascii="Times New Roman" w:hAnsi="Times New Roman" w:eastAsia="微软雅黑" w:cs="Times New Roman"/>
          <w:b/>
          <w:bCs/>
          <w:sz w:val="21"/>
          <w:szCs w:val="21"/>
        </w:rPr>
      </w:pPr>
    </w:p>
    <w:p w14:paraId="11BB6CC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53AD23C5">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1.49m</w:t>
      </w:r>
      <w:r>
        <w:rPr>
          <w:rFonts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3.5m</w:t>
      </w:r>
      <w:r>
        <w:rPr>
          <w:rFonts w:ascii="Times New Roman" w:hAnsi="Times New Roman" w:eastAsia="微软雅黑" w:cs="Times New Roman"/>
          <w:color w:val="000000"/>
          <w:kern w:val="0"/>
          <w:sz w:val="21"/>
          <w:szCs w:val="21"/>
          <w:lang w:bidi="ar"/>
        </w:rPr>
        <w:t>l无水乙腈中，混匀；</w:t>
      </w:r>
    </w:p>
    <w:p w14:paraId="050EBA58">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30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14.97m</w:t>
      </w:r>
      <w:r>
        <w:rPr>
          <w:rFonts w:ascii="Times New Roman" w:hAnsi="Times New Roman" w:eastAsia="微软雅黑" w:cs="Times New Roman"/>
          <w:color w:val="000000"/>
          <w:kern w:val="0"/>
          <w:sz w:val="21"/>
          <w:szCs w:val="21"/>
          <w:lang w:bidi="ar"/>
        </w:rPr>
        <w:t>l超纯水，混匀；</w:t>
      </w:r>
    </w:p>
    <w:p w14:paraId="6295A9A2">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490</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4.5m</w:t>
      </w:r>
      <w:r>
        <w:rPr>
          <w:rFonts w:ascii="Times New Roman" w:hAnsi="Times New Roman" w:eastAsia="微软雅黑" w:cs="Times New Roman"/>
          <w:color w:val="000000"/>
          <w:kern w:val="0"/>
          <w:sz w:val="21"/>
          <w:szCs w:val="21"/>
          <w:lang w:bidi="ar"/>
        </w:rPr>
        <w:t>l无水乙腈中，混匀。</w:t>
      </w:r>
    </w:p>
    <w:p w14:paraId="3855AE4F">
      <w:pPr>
        <w:spacing w:line="240" w:lineRule="auto"/>
        <w:rPr>
          <w:rFonts w:ascii="Times New Roman" w:hAnsi="Times New Roman" w:eastAsia="微软雅黑" w:cs="Times New Roman"/>
          <w:color w:val="000000"/>
          <w:kern w:val="0"/>
          <w:sz w:val="21"/>
          <w:szCs w:val="21"/>
          <w:lang w:bidi="ar"/>
        </w:rPr>
      </w:pPr>
    </w:p>
    <w:p w14:paraId="45FE9CA8">
      <w:pPr>
        <w:spacing w:line="240" w:lineRule="auto"/>
        <w:rPr>
          <w:rFonts w:ascii="Times New Roman" w:hAnsi="Times New Roman" w:eastAsia="微软雅黑" w:cs="Times New Roman"/>
          <w:color w:val="FF0000"/>
          <w:kern w:val="0"/>
          <w:sz w:val="21"/>
          <w:szCs w:val="21"/>
          <w:lang w:bidi="ar"/>
        </w:rPr>
      </w:pPr>
      <w:r>
        <w:rPr>
          <w:rFonts w:ascii="Times New Roman" w:hAnsi="Times New Roman" w:eastAsia="微软雅黑" w:cs="Times New Roman"/>
          <w:b/>
          <w:bCs/>
          <w:sz w:val="21"/>
          <w:szCs w:val="21"/>
        </w:rPr>
        <w:t>5. 操作过程</w:t>
      </w:r>
    </w:p>
    <w:p w14:paraId="54ECC03E">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5.1 蛋白提取</w:t>
      </w:r>
    </w:p>
    <w:p w14:paraId="6A42F1E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auto"/>
          <w:kern w:val="0"/>
          <w:sz w:val="21"/>
          <w:szCs w:val="21"/>
          <w:lang w:val="en-US" w:eastAsia="zh-CN" w:bidi="ar"/>
        </w:rPr>
        <w:t>，然后</w:t>
      </w:r>
      <w:r>
        <w:rPr>
          <w:rFonts w:hint="default" w:ascii="Times New Roman" w:hAnsi="Times New Roman" w:eastAsia="微软雅黑" w:cs="Times New Roman"/>
          <w:color w:val="000000"/>
          <w:kern w:val="0"/>
          <w:sz w:val="21"/>
          <w:szCs w:val="21"/>
          <w:lang w:val="en-US" w:eastAsia="zh-CN" w:bidi="ar"/>
        </w:rPr>
        <w:t>置于冰上裂解10min；</w:t>
      </w:r>
    </w:p>
    <w:p w14:paraId="0F68C3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w:t>
      </w:r>
      <w:r>
        <w:rPr>
          <w:rFonts w:hint="eastAsia" w:ascii="Times New Roman" w:hAnsi="Times New Roman" w:eastAsia="微软雅黑" w:cs="Times New Roman"/>
          <w:color w:val="FF0000"/>
          <w:kern w:val="0"/>
          <w:sz w:val="21"/>
          <w:szCs w:val="21"/>
          <w:lang w:val="en-US" w:eastAsia="zh-CN" w:bidi="ar"/>
        </w:rPr>
        <w:t>可</w:t>
      </w:r>
      <w:r>
        <w:rPr>
          <w:rFonts w:hint="default" w:ascii="Times New Roman" w:hAnsi="Times New Roman" w:eastAsia="微软雅黑" w:cs="Times New Roman"/>
          <w:color w:val="FF0000"/>
          <w:kern w:val="0"/>
          <w:sz w:val="21"/>
          <w:szCs w:val="21"/>
          <w:lang w:val="en-US" w:eastAsia="zh-CN" w:bidi="ar"/>
        </w:rPr>
        <w:t>使用超声波细胞破碎仪冰上超声2 min （25-30Hz ,</w:t>
      </w:r>
      <w:r>
        <w:rPr>
          <w:rFonts w:hint="eastAsia" w:ascii="Times New Roman" w:hAnsi="Times New Roman" w:eastAsia="微软雅黑" w:cs="Times New Roman"/>
          <w:color w:val="FF0000"/>
          <w:kern w:val="0"/>
          <w:sz w:val="21"/>
          <w:szCs w:val="21"/>
          <w:lang w:val="en-US" w:eastAsia="zh-CN" w:bidi="ar"/>
        </w:rPr>
        <w:t>超声</w:t>
      </w:r>
      <w:r>
        <w:rPr>
          <w:rFonts w:hint="default" w:ascii="Times New Roman" w:hAnsi="Times New Roman" w:eastAsia="微软雅黑" w:cs="Times New Roman"/>
          <w:color w:val="FF0000"/>
          <w:kern w:val="0"/>
          <w:sz w:val="21"/>
          <w:szCs w:val="21"/>
          <w:lang w:val="en-US" w:eastAsia="zh-CN" w:bidi="ar"/>
        </w:rPr>
        <w:t>10s停10s）；</w:t>
      </w:r>
    </w:p>
    <w:p w14:paraId="490F48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试剂0），高通量组织研磨仪震荡研磨3次，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auto"/>
          <w:kern w:val="0"/>
          <w:sz w:val="21"/>
          <w:szCs w:val="21"/>
          <w:lang w:val="en-US" w:eastAsia="zh-CN" w:bidi="ar"/>
        </w:rPr>
        <w:t>，然后</w:t>
      </w:r>
      <w:r>
        <w:rPr>
          <w:rFonts w:hint="default" w:ascii="Times New Roman" w:hAnsi="Times New Roman" w:eastAsia="微软雅黑" w:cs="Times New Roman"/>
          <w:color w:val="000000"/>
          <w:kern w:val="0"/>
          <w:sz w:val="21"/>
          <w:szCs w:val="21"/>
          <w:lang w:val="en-US" w:eastAsia="zh-CN" w:bidi="ar"/>
        </w:rPr>
        <w:t>置于冰上裂解10min；</w:t>
      </w:r>
    </w:p>
    <w:p w14:paraId="479E71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血液样本进行5.</w:t>
      </w:r>
      <w:r>
        <w:rPr>
          <w:rFonts w:hint="eastAsia" w:ascii="Times New Roman" w:hAnsi="Times New Roman" w:eastAsia="微软雅黑" w:cs="Times New Roman"/>
          <w:color w:val="000000"/>
          <w:kern w:val="0"/>
          <w:sz w:val="21"/>
          <w:szCs w:val="21"/>
          <w:lang w:val="en-US" w:eastAsia="zh-CN" w:bidi="ar"/>
        </w:rPr>
        <w:t>2</w:t>
      </w:r>
      <w:r>
        <w:rPr>
          <w:rFonts w:hint="default" w:ascii="Times New Roman" w:hAnsi="Times New Roman" w:eastAsia="微软雅黑" w:cs="Times New Roman"/>
          <w:color w:val="000000"/>
          <w:kern w:val="0"/>
          <w:sz w:val="21"/>
          <w:szCs w:val="21"/>
          <w:lang w:val="en-US" w:eastAsia="zh-CN" w:bidi="ar"/>
        </w:rPr>
        <w:t xml:space="preserve"> 步骤a的操作；</w:t>
      </w:r>
    </w:p>
    <w:p w14:paraId="7D16D1E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6974C5C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BCA 蛋白定量；</w:t>
      </w:r>
    </w:p>
    <w:p w14:paraId="6B43242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bCs/>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2DC6A8C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72219E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步骤5.1 d中得到的蛋白溶液（</w:t>
      </w:r>
      <w:r>
        <w:rPr>
          <w:rFonts w:hint="default" w:ascii="Times New Roman" w:hAnsi="Times New Roman" w:eastAsia="微软雅黑" w:cs="Times New Roman"/>
          <w:color w:val="FF0000"/>
          <w:kern w:val="0"/>
          <w:sz w:val="21"/>
          <w:szCs w:val="21"/>
          <w:lang w:val="en-US" w:eastAsia="zh-CN" w:bidi="ar"/>
        </w:rPr>
        <w:t>建议总体积不超过20</w:t>
      </w:r>
      <w:r>
        <w:rPr>
          <w:rFonts w:hint="default" w:ascii="Times New Roman" w:hAnsi="Times New Roman" w:eastAsia="微软雅黑" w:cs="Times New Roman"/>
          <w:color w:val="FF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），补加试剂A 20 μl，吹打混匀；</w:t>
      </w:r>
    </w:p>
    <w:p w14:paraId="2CDE70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b. 95℃加热5min（95℃，1000rpm）；</w:t>
      </w:r>
    </w:p>
    <w:p w14:paraId="03B4FC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 xml:space="preserve">2h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641983C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Times New Roman" w:hAnsi="Times New Roman" w:eastAsia="微软雅黑" w:cs="Times New Roman"/>
          <w:b/>
          <w:bCs/>
          <w:sz w:val="21"/>
          <w:szCs w:val="21"/>
        </w:rPr>
      </w:pPr>
      <w:r>
        <w:rPr>
          <w:rFonts w:hint="default" w:ascii="Times New Roman" w:hAnsi="Times New Roman" w:eastAsia="微软雅黑" w:cs="Times New Roman"/>
          <w:color w:val="000000"/>
          <w:kern w:val="0"/>
          <w:sz w:val="21"/>
          <w:szCs w:val="21"/>
          <w:lang w:val="en-US" w:eastAsia="zh-CN"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μl试剂</w:t>
      </w: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val="en-US" w:eastAsia="zh-CN" w:bidi="ar"/>
        </w:rPr>
        <w:t>，混匀，终止酶解反应，此时会有沉淀出现，</w:t>
      </w:r>
      <w:r>
        <w:rPr>
          <w:rFonts w:hint="eastAsia" w:ascii="Times New Roman" w:hAnsi="Times New Roman" w:eastAsia="微软雅黑" w:cs="Times New Roman"/>
          <w:color w:val="000000"/>
          <w:kern w:val="0"/>
          <w:sz w:val="21"/>
          <w:szCs w:val="21"/>
          <w:lang w:val="en-US" w:eastAsia="zh-CN" w:bidi="ar"/>
        </w:rPr>
        <w:t>14</w:t>
      </w:r>
      <w:r>
        <w:rPr>
          <w:rFonts w:hint="default" w:ascii="Times New Roman" w:hAnsi="Times New Roman" w:eastAsia="微软雅黑" w:cs="Times New Roman"/>
          <w:color w:val="000000"/>
          <w:kern w:val="0"/>
          <w:sz w:val="21"/>
          <w:szCs w:val="21"/>
          <w:lang w:val="en-US" w:eastAsia="zh-CN" w:bidi="ar"/>
        </w:rPr>
        <w:t>000g离心</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min吸取上清待后续脱盐。</w:t>
      </w:r>
    </w:p>
    <w:p w14:paraId="7D8E411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453EAE4B">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0μl甲醇加入到脱盐柱中，700g离心1min；</w:t>
      </w:r>
    </w:p>
    <w:p w14:paraId="641F6B7C">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Condition buffer加入到脱盐柱中，700g离心1min；</w:t>
      </w:r>
    </w:p>
    <w:p w14:paraId="753E7399">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w:t>
      </w:r>
    </w:p>
    <w:p w14:paraId="7E2DB767">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w:t>
      </w:r>
      <w:r>
        <w:rPr>
          <w:rFonts w:hint="eastAsia" w:ascii="Times New Roman" w:hAnsi="Times New Roman" w:eastAsia="微软雅黑" w:cs="Times New Roman"/>
          <w:color w:val="000000"/>
          <w:kern w:val="0"/>
          <w:sz w:val="21"/>
          <w:szCs w:val="21"/>
          <w:lang w:bidi="ar"/>
        </w:rPr>
        <w:t>（1-30μg）</w:t>
      </w:r>
      <w:r>
        <w:rPr>
          <w:rFonts w:ascii="Times New Roman" w:hAnsi="Times New Roman" w:eastAsia="微软雅黑" w:cs="Times New Roman"/>
          <w:color w:val="000000"/>
          <w:kern w:val="0"/>
          <w:sz w:val="21"/>
          <w:szCs w:val="21"/>
          <w:lang w:bidi="ar"/>
        </w:rPr>
        <w:t>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5CFB3CCF">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buffer加入到脱盐柱中，700g离心1min，重复操作一次；</w:t>
      </w:r>
    </w:p>
    <w:p w14:paraId="46A1437E">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65981D3F">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1292B553">
      <w:pPr>
        <w:spacing w:line="240" w:lineRule="auto"/>
        <w:rPr>
          <w:rFonts w:ascii="Times New Roman" w:hAnsi="Times New Roman" w:eastAsia="微软雅黑" w:cs="Times New Roman"/>
          <w:b/>
          <w:bCs/>
          <w:sz w:val="21"/>
          <w:szCs w:val="21"/>
        </w:rPr>
      </w:pPr>
    </w:p>
    <w:p w14:paraId="3BD0D50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14B64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试剂0和试剂A低温下会析出，建议使用前置于水浴锅中（37-50℃）放置10min，待结晶重新溶解后混匀使用；</w:t>
      </w:r>
    </w:p>
    <w:p w14:paraId="24F68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3D152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29076F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12318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4832B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80BB2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57FE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3122C640">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577629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561B6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DDC657B">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31760C1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327" w:right="1689" w:bottom="1157" w:left="1689" w:header="851" w:footer="90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8D30">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1C6E6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0F1C6E6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F6A2C">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3">
    <w:nsid w:val="D0856594"/>
    <w:multiLevelType w:val="singleLevel"/>
    <w:tmpl w:val="D0856594"/>
    <w:lvl w:ilvl="0" w:tentative="0">
      <w:start w:val="1"/>
      <w:numFmt w:val="lowerLetter"/>
      <w:lvlText w:val="%1."/>
      <w:lvlJc w:val="left"/>
      <w:pPr>
        <w:ind w:left="425" w:hanging="425"/>
      </w:pPr>
      <w:rPr>
        <w:rFonts w:hint="default"/>
      </w:rPr>
    </w:lvl>
  </w:abstractNum>
  <w:abstractNum w:abstractNumId="4">
    <w:nsid w:val="4EB15633"/>
    <w:multiLevelType w:val="singleLevel"/>
    <w:tmpl w:val="4EB15633"/>
    <w:lvl w:ilvl="0" w:tentative="0">
      <w:start w:val="1"/>
      <w:numFmt w:val="decimal"/>
      <w:suff w:val="space"/>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77d43718-c83b-406f-b77c-a9a7c423d7f7"/>
  </w:docVars>
  <w:rsids>
    <w:rsidRoot w:val="00000000"/>
    <w:rsid w:val="13AC0DFB"/>
    <w:rsid w:val="1BAF4D2D"/>
    <w:rsid w:val="1D2737FF"/>
    <w:rsid w:val="1D49240D"/>
    <w:rsid w:val="1D940501"/>
    <w:rsid w:val="1EFC5E1C"/>
    <w:rsid w:val="239D478B"/>
    <w:rsid w:val="2A852502"/>
    <w:rsid w:val="2AF136BA"/>
    <w:rsid w:val="2FFA371C"/>
    <w:rsid w:val="306744D1"/>
    <w:rsid w:val="344F3FA7"/>
    <w:rsid w:val="3D2C6E4B"/>
    <w:rsid w:val="3D5B7ECD"/>
    <w:rsid w:val="3F8F6DDC"/>
    <w:rsid w:val="400224F5"/>
    <w:rsid w:val="41412BA9"/>
    <w:rsid w:val="42F655C2"/>
    <w:rsid w:val="43357339"/>
    <w:rsid w:val="4ACC6341"/>
    <w:rsid w:val="4B281F6A"/>
    <w:rsid w:val="4C886703"/>
    <w:rsid w:val="4D3A5FEE"/>
    <w:rsid w:val="4E0E0F6C"/>
    <w:rsid w:val="517D186C"/>
    <w:rsid w:val="52A5300F"/>
    <w:rsid w:val="549F7650"/>
    <w:rsid w:val="57DC32D5"/>
    <w:rsid w:val="59111DD5"/>
    <w:rsid w:val="5CBB54FE"/>
    <w:rsid w:val="5DCA1310"/>
    <w:rsid w:val="60546E99"/>
    <w:rsid w:val="60A74B67"/>
    <w:rsid w:val="63F70CE7"/>
    <w:rsid w:val="651314FA"/>
    <w:rsid w:val="6BCF487D"/>
    <w:rsid w:val="755C79D6"/>
    <w:rsid w:val="75BE509E"/>
    <w:rsid w:val="75D90C82"/>
    <w:rsid w:val="79E53753"/>
    <w:rsid w:val="7ACB64C7"/>
    <w:rsid w:val="7AF516A8"/>
    <w:rsid w:val="7D1909ED"/>
    <w:rsid w:val="7D4E03C0"/>
    <w:rsid w:val="7D5B3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1587</Words>
  <Characters>2224</Characters>
  <Lines>0</Lines>
  <Paragraphs>0</Paragraphs>
  <TotalTime>0</TotalTime>
  <ScaleCrop>false</ScaleCrop>
  <LinksUpToDate>false</LinksUpToDate>
  <CharactersWithSpaces>2315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2024-11-12T08:02:01Z</cp:lastPrinted>
  <dcterms:modified xsi:type="dcterms:W3CDTF">2026-06-11T06:44:02Z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1D1F28B1E42641FF83E50ECABC846A0B_13</vt:lpwstr>
  </property>
  <property fmtid="{D5CDD505-2E9C-101B-9397-08002B2CF9AE}" pid="4" name="KSOTemplateDocerSaveRecord">
    <vt:lpwstr>eyJoZGlkIjoiNGE4MmJmZWM4N2NmNzM0ODc5NTJkMGZhNzZhNmI2ZDgiLCJ1c2VySWQiOiI2OTYyMTYzMjYifQ==</vt:lpwstr>
  </property>
</Properties>
</file>