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29C92A">
      <w:pPr>
        <w:jc w:val="center"/>
        <w:rPr>
          <w:rFonts w:hint="eastAsia" w:ascii="微软雅黑" w:hAnsi="微软雅黑" w:eastAsia="微软雅黑" w:cs="微软雅黑"/>
          <w:b/>
          <w:bCs/>
          <w:sz w:val="32"/>
          <w:szCs w:val="32"/>
        </w:rPr>
      </w:pPr>
      <w:bookmarkStart w:id="0" w:name="_GoBack"/>
      <w:bookmarkEnd w:id="0"/>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Micro</w:t>
      </w:r>
      <w:r>
        <w:rPr>
          <w:rFonts w:hint="eastAsia" w:ascii="微软雅黑" w:hAnsi="微软雅黑" w:eastAsia="微软雅黑" w:cs="微软雅黑"/>
          <w:b/>
          <w:bCs/>
          <w:sz w:val="32"/>
          <w:szCs w:val="32"/>
        </w:rPr>
        <w:t>前处理制备试剂盒</w:t>
      </w:r>
    </w:p>
    <w:p w14:paraId="7D8D59A4">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OSFP0001</w:t>
      </w:r>
      <w:r>
        <w:rPr>
          <w:rFonts w:hint="eastAsia" w:ascii="微软雅黑" w:hAnsi="微软雅黑" w:eastAsia="微软雅黑" w:cs="微软雅黑"/>
          <w:lang w:val="en-US" w:eastAsia="zh-CN"/>
        </w:rPr>
        <w:t xml:space="preserve">  规格：</w:t>
      </w:r>
      <w:r>
        <w:rPr>
          <w:rFonts w:hint="eastAsia" w:ascii="Times New Roman" w:hAnsi="Times New Roman" w:eastAsia="微软雅黑" w:cs="Times New Roman"/>
          <w:lang w:val="en-US" w:eastAsia="zh-CN"/>
        </w:rPr>
        <w:t>96</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ascii="宋体" w:hAnsi="宋体" w:eastAsia="宋体" w:cs="宋体"/>
          <w:sz w:val="24"/>
          <w:szCs w:val="24"/>
        </w:rPr>
        <w:t>V202606</w:t>
      </w:r>
      <w:r>
        <w:rPr>
          <w:rFonts w:hint="eastAsia" w:ascii="宋体" w:hAnsi="宋体" w:eastAsia="宋体" w:cs="宋体"/>
          <w:sz w:val="24"/>
          <w:szCs w:val="24"/>
          <w:lang w:val="en-US" w:eastAsia="zh-CN"/>
        </w:rPr>
        <w:t>08</w:t>
      </w:r>
    </w:p>
    <w:p w14:paraId="688D299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6"/>
        <w:gridCol w:w="1511"/>
        <w:gridCol w:w="5246"/>
        <w:gridCol w:w="1332"/>
      </w:tblGrid>
      <w:tr w14:paraId="38D4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4" w:type="pct"/>
            <w:tcBorders>
              <w:top w:val="single" w:color="auto" w:sz="6" w:space="0"/>
              <w:bottom w:val="single" w:color="auto" w:sz="6" w:space="0"/>
            </w:tcBorders>
            <w:noWrap w:val="0"/>
            <w:vAlign w:val="center"/>
          </w:tcPr>
          <w:p w14:paraId="2923E2CB">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试剂名称</w:t>
            </w:r>
          </w:p>
        </w:tc>
        <w:tc>
          <w:tcPr>
            <w:tcW w:w="793" w:type="pct"/>
            <w:tcBorders>
              <w:top w:val="single" w:color="auto" w:sz="6" w:space="0"/>
              <w:bottom w:val="single" w:color="auto" w:sz="6" w:space="0"/>
            </w:tcBorders>
            <w:noWrap w:val="0"/>
            <w:vAlign w:val="center"/>
          </w:tcPr>
          <w:p w14:paraId="0BB61620">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规格</w:t>
            </w:r>
          </w:p>
        </w:tc>
        <w:tc>
          <w:tcPr>
            <w:tcW w:w="2753" w:type="pct"/>
            <w:tcBorders>
              <w:top w:val="single" w:color="auto" w:sz="6" w:space="0"/>
              <w:bottom w:val="single" w:color="auto" w:sz="6" w:space="0"/>
            </w:tcBorders>
            <w:noWrap w:val="0"/>
            <w:vAlign w:val="center"/>
          </w:tcPr>
          <w:p w14:paraId="4AF63562">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简   介</w:t>
            </w:r>
          </w:p>
        </w:tc>
        <w:tc>
          <w:tcPr>
            <w:tcW w:w="699" w:type="pct"/>
            <w:tcBorders>
              <w:top w:val="single" w:color="auto" w:sz="6" w:space="0"/>
              <w:bottom w:val="single" w:color="auto" w:sz="6" w:space="0"/>
            </w:tcBorders>
            <w:noWrap w:val="0"/>
            <w:vAlign w:val="center"/>
          </w:tcPr>
          <w:p w14:paraId="4DE9392D">
            <w:pPr>
              <w:spacing w:line="240" w:lineRule="auto"/>
              <w:jc w:val="center"/>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储存条件</w:t>
            </w:r>
          </w:p>
        </w:tc>
      </w:tr>
      <w:tr w14:paraId="1B0D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4" w:type="pct"/>
            <w:tcBorders>
              <w:top w:val="nil"/>
              <w:bottom w:val="nil"/>
            </w:tcBorders>
            <w:noWrap w:val="0"/>
            <w:vAlign w:val="center"/>
          </w:tcPr>
          <w:p w14:paraId="533D0E1F">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0 </w:t>
            </w:r>
            <w:r>
              <w:rPr>
                <w:rFonts w:hint="default" w:ascii="Times New Roman" w:hAnsi="Times New Roman" w:eastAsia="微软雅黑" w:cs="Times New Roman"/>
                <w:b w:val="0"/>
                <w:bCs w:val="0"/>
                <w:color w:val="FDF731"/>
                <w:sz w:val="21"/>
                <w:szCs w:val="21"/>
                <w:vertAlign w:val="baseline"/>
                <w:lang w:val="en-US" w:eastAsia="zh-CN"/>
              </w:rPr>
              <w:t>●</w:t>
            </w:r>
            <w:r>
              <w:rPr>
                <w:rFonts w:hint="default" w:ascii="Times New Roman" w:hAnsi="Times New Roman" w:eastAsia="微软雅黑" w:cs="Times New Roman"/>
                <w:color w:val="FDF731"/>
                <w:sz w:val="21"/>
                <w:szCs w:val="21"/>
              </w:rPr>
              <w:t xml:space="preserve"> </w:t>
            </w:r>
          </w:p>
        </w:tc>
        <w:tc>
          <w:tcPr>
            <w:tcW w:w="793" w:type="pct"/>
            <w:tcBorders>
              <w:top w:val="nil"/>
              <w:bottom w:val="nil"/>
            </w:tcBorders>
            <w:noWrap w:val="0"/>
            <w:vAlign w:val="center"/>
          </w:tcPr>
          <w:p w14:paraId="2951500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22</w:t>
            </w:r>
            <w:r>
              <w:rPr>
                <w:rFonts w:hint="default" w:ascii="Times New Roman" w:hAnsi="Times New Roman" w:eastAsia="微软雅黑" w:cs="Times New Roman"/>
                <w:b w:val="0"/>
                <w:bCs w:val="0"/>
                <w:sz w:val="21"/>
                <w:szCs w:val="21"/>
                <w:vertAlign w:val="baseline"/>
                <w:lang w:val="en-US" w:eastAsia="zh-CN"/>
              </w:rPr>
              <w:t>ml*</w:t>
            </w:r>
            <w:r>
              <w:rPr>
                <w:rFonts w:hint="eastAsia" w:ascii="Times New Roman" w:hAnsi="Times New Roman" w:eastAsia="微软雅黑" w:cs="Times New Roman"/>
                <w:b w:val="0"/>
                <w:bCs w:val="0"/>
                <w:sz w:val="21"/>
                <w:szCs w:val="21"/>
                <w:vertAlign w:val="baseline"/>
                <w:lang w:val="en-US" w:eastAsia="zh-CN"/>
              </w:rPr>
              <w:t>1</w:t>
            </w:r>
          </w:p>
        </w:tc>
        <w:tc>
          <w:tcPr>
            <w:tcW w:w="2753" w:type="pct"/>
            <w:tcBorders>
              <w:top w:val="nil"/>
              <w:bottom w:val="nil"/>
            </w:tcBorders>
            <w:noWrap w:val="0"/>
            <w:vAlign w:val="center"/>
          </w:tcPr>
          <w:p w14:paraId="298C77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highlight w:val="none"/>
                <w:vertAlign w:val="baseline"/>
                <w:lang w:val="en-US" w:eastAsia="zh-CN"/>
              </w:rPr>
              <w:t>裂解液，用于蛋白裂解</w:t>
            </w:r>
          </w:p>
        </w:tc>
        <w:tc>
          <w:tcPr>
            <w:tcW w:w="699" w:type="pct"/>
            <w:tcBorders>
              <w:top w:val="nil"/>
              <w:bottom w:val="nil"/>
            </w:tcBorders>
            <w:noWrap w:val="0"/>
            <w:vAlign w:val="center"/>
          </w:tcPr>
          <w:p w14:paraId="38D505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50D0F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4" w:type="pct"/>
            <w:tcBorders>
              <w:top w:val="nil"/>
              <w:bottom w:val="nil"/>
            </w:tcBorders>
            <w:noWrap w:val="0"/>
            <w:vAlign w:val="center"/>
          </w:tcPr>
          <w:p w14:paraId="28E61EBC">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default" w:ascii="Times New Roman" w:hAnsi="Times New Roman" w:eastAsia="微软雅黑" w:cs="Times New Roman"/>
                <w:sz w:val="21"/>
                <w:szCs w:val="21"/>
                <w:lang w:val="en-US" w:eastAsia="zh-CN"/>
              </w:rPr>
              <w:t xml:space="preserve">A </w:t>
            </w:r>
            <w:r>
              <w:rPr>
                <w:rFonts w:hint="default" w:ascii="Times New Roman" w:hAnsi="Times New Roman" w:eastAsia="微软雅黑" w:cs="Times New Roman"/>
                <w:b w:val="0"/>
                <w:bCs w:val="0"/>
                <w:color w:val="843C0B"/>
                <w:sz w:val="21"/>
                <w:szCs w:val="21"/>
                <w:vertAlign w:val="baseline"/>
                <w:lang w:val="en-US" w:eastAsia="zh-CN"/>
              </w:rPr>
              <w:t>●</w:t>
            </w:r>
            <w:r>
              <w:rPr>
                <w:rFonts w:hint="default" w:ascii="Times New Roman" w:hAnsi="Times New Roman" w:eastAsia="微软雅黑" w:cs="Times New Roman"/>
                <w:sz w:val="21"/>
                <w:szCs w:val="21"/>
              </w:rPr>
              <w:t xml:space="preserve"> </w:t>
            </w:r>
          </w:p>
        </w:tc>
        <w:tc>
          <w:tcPr>
            <w:tcW w:w="793" w:type="pct"/>
            <w:tcBorders>
              <w:top w:val="nil"/>
              <w:bottom w:val="nil"/>
            </w:tcBorders>
            <w:noWrap w:val="0"/>
            <w:vAlign w:val="center"/>
          </w:tcPr>
          <w:p w14:paraId="3FB456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default" w:ascii="Times New Roman" w:hAnsi="Times New Roman" w:eastAsia="微软雅黑" w:cs="Times New Roman"/>
                <w:b w:val="0"/>
                <w:bCs w:val="0"/>
                <w:sz w:val="21"/>
                <w:szCs w:val="21"/>
                <w:vertAlign w:val="baseline"/>
                <w:lang w:val="en-US" w:eastAsia="zh-CN"/>
              </w:rPr>
              <w:t>180</w:t>
            </w:r>
            <w:r>
              <w:rPr>
                <w:rFonts w:hint="eastAsia" w:ascii="Times New Roman" w:hAnsi="Times New Roman" w:eastAsia="微软雅黑" w:cs="Times New Roman"/>
                <w:b w:val="0"/>
                <w:bCs w:val="0"/>
                <w:sz w:val="21"/>
                <w:szCs w:val="21"/>
                <w:vertAlign w:val="baseline"/>
                <w:lang w:val="en-US" w:eastAsia="zh-CN"/>
              </w:rPr>
              <w:t xml:space="preserve"> </w:t>
            </w:r>
            <w:r>
              <w:rPr>
                <w:rFonts w:hint="default" w:ascii="Times New Roman" w:hAnsi="Times New Roman" w:eastAsia="微软雅黑" w:cs="Times New Roman"/>
                <w:b w:val="0"/>
                <w:bCs w:val="0"/>
                <w:sz w:val="21"/>
                <w:szCs w:val="21"/>
                <w:vertAlign w:val="baseline"/>
                <w:lang w:val="en-US" w:eastAsia="zh-CN"/>
              </w:rPr>
              <w:t>μl*</w:t>
            </w:r>
            <w:r>
              <w:rPr>
                <w:rFonts w:hint="eastAsia" w:ascii="Times New Roman" w:hAnsi="Times New Roman" w:eastAsia="微软雅黑" w:cs="Times New Roman"/>
                <w:b w:val="0"/>
                <w:bCs w:val="0"/>
                <w:sz w:val="21"/>
                <w:szCs w:val="21"/>
                <w:vertAlign w:val="baseline"/>
                <w:lang w:val="en-US" w:eastAsia="zh-CN"/>
              </w:rPr>
              <w:t>12</w:t>
            </w:r>
          </w:p>
        </w:tc>
        <w:tc>
          <w:tcPr>
            <w:tcW w:w="2753" w:type="pct"/>
            <w:tcBorders>
              <w:top w:val="nil"/>
              <w:bottom w:val="nil"/>
            </w:tcBorders>
            <w:noWrap w:val="0"/>
            <w:vAlign w:val="center"/>
          </w:tcPr>
          <w:p w14:paraId="1C0E49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还原烷基化及酶解体系，也可用于蛋白裂解</w:t>
            </w:r>
          </w:p>
        </w:tc>
        <w:tc>
          <w:tcPr>
            <w:tcW w:w="699" w:type="pct"/>
            <w:tcBorders>
              <w:top w:val="nil"/>
              <w:bottom w:val="nil"/>
            </w:tcBorders>
            <w:noWrap w:val="0"/>
            <w:vAlign w:val="center"/>
          </w:tcPr>
          <w:p w14:paraId="4BE656F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-20℃</w:t>
            </w:r>
          </w:p>
        </w:tc>
      </w:tr>
      <w:tr w14:paraId="01A17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4" w:type="pct"/>
            <w:tcBorders>
              <w:top w:val="nil"/>
              <w:bottom w:val="nil"/>
            </w:tcBorders>
            <w:noWrap w:val="0"/>
            <w:vAlign w:val="center"/>
          </w:tcPr>
          <w:p w14:paraId="5C90F9C3">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eastAsia" w:ascii="Times New Roman" w:hAnsi="Times New Roman" w:eastAsia="微软雅黑" w:cs="Times New Roman"/>
                <w:sz w:val="21"/>
                <w:szCs w:val="21"/>
                <w:lang w:val="en-US" w:eastAsia="zh-CN"/>
              </w:rPr>
              <w:t>B</w:t>
            </w:r>
            <w:r>
              <w:rPr>
                <w:rFonts w:hint="default" w:ascii="Times New Roman" w:hAnsi="Times New Roman" w:eastAsia="微软雅黑" w:cs="Times New Roman"/>
                <w:b w:val="0"/>
                <w:bCs w:val="0"/>
                <w:sz w:val="21"/>
                <w:szCs w:val="21"/>
                <w:vertAlign w:val="baseline"/>
                <w:lang w:val="en-US" w:eastAsia="zh-CN"/>
              </w:rPr>
              <w:t xml:space="preserve"> </w:t>
            </w:r>
            <w:r>
              <w:rPr>
                <w:rFonts w:hint="default" w:ascii="Times New Roman" w:hAnsi="Times New Roman" w:eastAsia="微软雅黑" w:cs="Times New Roman"/>
                <w:b w:val="0"/>
                <w:bCs w:val="0"/>
                <w:color w:val="FF0000"/>
                <w:sz w:val="21"/>
                <w:szCs w:val="21"/>
                <w:vertAlign w:val="baseline"/>
                <w:lang w:val="en-US" w:eastAsia="zh-CN"/>
              </w:rPr>
              <w:t>●</w:t>
            </w:r>
          </w:p>
        </w:tc>
        <w:tc>
          <w:tcPr>
            <w:tcW w:w="793" w:type="pct"/>
            <w:tcBorders>
              <w:top w:val="nil"/>
              <w:bottom w:val="nil"/>
            </w:tcBorders>
            <w:noWrap w:val="0"/>
            <w:vAlign w:val="center"/>
          </w:tcPr>
          <w:p w14:paraId="6E5699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default" w:ascii="Times New Roman" w:hAnsi="Times New Roman" w:eastAsia="微软雅黑" w:cs="Times New Roman"/>
                <w:b w:val="0"/>
                <w:bCs w:val="0"/>
                <w:sz w:val="21"/>
                <w:szCs w:val="21"/>
                <w:vertAlign w:val="baseline"/>
                <w:lang w:val="en-US" w:eastAsia="zh-CN"/>
              </w:rPr>
              <w:t>1</w:t>
            </w:r>
            <w:r>
              <w:rPr>
                <w:rFonts w:hint="eastAsia" w:ascii="Times New Roman" w:hAnsi="Times New Roman" w:eastAsia="微软雅黑" w:cs="Times New Roman"/>
                <w:b w:val="0"/>
                <w:bCs w:val="0"/>
                <w:sz w:val="21"/>
                <w:szCs w:val="21"/>
                <w:vertAlign w:val="baseline"/>
                <w:lang w:val="en-US" w:eastAsia="zh-CN"/>
              </w:rPr>
              <w:t xml:space="preserve">40 </w:t>
            </w:r>
            <w:r>
              <w:rPr>
                <w:rFonts w:hint="default" w:ascii="Times New Roman" w:hAnsi="Times New Roman" w:eastAsia="微软雅黑" w:cs="Times New Roman"/>
                <w:b w:val="0"/>
                <w:bCs w:val="0"/>
                <w:sz w:val="21"/>
                <w:szCs w:val="21"/>
                <w:vertAlign w:val="baseline"/>
                <w:lang w:val="en-US" w:eastAsia="zh-CN"/>
              </w:rPr>
              <w:t>μl*</w:t>
            </w:r>
            <w:r>
              <w:rPr>
                <w:rFonts w:hint="eastAsia" w:ascii="Times New Roman" w:hAnsi="Times New Roman" w:eastAsia="微软雅黑" w:cs="Times New Roman"/>
                <w:b w:val="0"/>
                <w:bCs w:val="0"/>
                <w:sz w:val="21"/>
                <w:szCs w:val="21"/>
                <w:vertAlign w:val="baseline"/>
                <w:lang w:val="en-US" w:eastAsia="zh-CN"/>
              </w:rPr>
              <w:t>12</w:t>
            </w:r>
          </w:p>
        </w:tc>
        <w:tc>
          <w:tcPr>
            <w:tcW w:w="2753" w:type="pct"/>
            <w:tcBorders>
              <w:top w:val="nil"/>
              <w:bottom w:val="nil"/>
            </w:tcBorders>
            <w:noWrap w:val="0"/>
            <w:vAlign w:val="center"/>
          </w:tcPr>
          <w:p w14:paraId="1495A97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酶，蛋白酶解</w:t>
            </w:r>
          </w:p>
        </w:tc>
        <w:tc>
          <w:tcPr>
            <w:tcW w:w="699" w:type="pct"/>
            <w:tcBorders>
              <w:top w:val="nil"/>
              <w:bottom w:val="nil"/>
            </w:tcBorders>
            <w:noWrap w:val="0"/>
            <w:vAlign w:val="center"/>
          </w:tcPr>
          <w:p w14:paraId="7283C09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-20℃</w:t>
            </w:r>
          </w:p>
        </w:tc>
      </w:tr>
      <w:tr w14:paraId="7AB4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754" w:type="pct"/>
            <w:tcBorders>
              <w:top w:val="nil"/>
              <w:bottom w:val="nil"/>
            </w:tcBorders>
            <w:noWrap w:val="0"/>
            <w:vAlign w:val="center"/>
          </w:tcPr>
          <w:p w14:paraId="7A6DE99A">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rPr>
              <w:t>试剂</w:t>
            </w:r>
            <w:r>
              <w:rPr>
                <w:rFonts w:hint="eastAsia" w:ascii="Times New Roman" w:hAnsi="Times New Roman" w:eastAsia="微软雅黑" w:cs="Times New Roman"/>
                <w:sz w:val="21"/>
                <w:szCs w:val="21"/>
                <w:lang w:val="en-US" w:eastAsia="zh-CN"/>
              </w:rPr>
              <w:t>C</w:t>
            </w:r>
            <w:r>
              <w:rPr>
                <w:rFonts w:hint="default" w:ascii="Times New Roman" w:hAnsi="Times New Roman" w:eastAsia="微软雅黑" w:cs="Times New Roman"/>
                <w:sz w:val="21"/>
                <w:szCs w:val="21"/>
                <w:lang w:val="en-US" w:eastAsia="zh-CN"/>
              </w:rPr>
              <w:t xml:space="preserve"> </w:t>
            </w:r>
            <w:r>
              <w:rPr>
                <w:rFonts w:hint="default" w:ascii="Times New Roman" w:hAnsi="Times New Roman" w:eastAsia="微软雅黑" w:cs="Times New Roman"/>
                <w:b w:val="0"/>
                <w:bCs w:val="0"/>
                <w:color w:val="auto"/>
                <w:sz w:val="21"/>
                <w:szCs w:val="21"/>
                <w:vertAlign w:val="baseline"/>
                <w:lang w:val="en-US" w:eastAsia="zh-CN"/>
              </w:rPr>
              <w:t>●</w:t>
            </w:r>
          </w:p>
        </w:tc>
        <w:tc>
          <w:tcPr>
            <w:tcW w:w="793" w:type="pct"/>
            <w:tcBorders>
              <w:top w:val="nil"/>
              <w:bottom w:val="nil"/>
            </w:tcBorders>
            <w:noWrap w:val="0"/>
            <w:vAlign w:val="center"/>
          </w:tcPr>
          <w:p w14:paraId="575BC45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rPr>
            </w:pPr>
            <w:r>
              <w:rPr>
                <w:rFonts w:hint="eastAsia" w:ascii="Times New Roman" w:hAnsi="Times New Roman" w:eastAsia="微软雅黑" w:cs="Times New Roman"/>
                <w:b w:val="0"/>
                <w:bCs w:val="0"/>
                <w:sz w:val="21"/>
                <w:szCs w:val="21"/>
                <w:vertAlign w:val="baseline"/>
                <w:lang w:val="en-US" w:eastAsia="zh-CN"/>
              </w:rPr>
              <w:t xml:space="preserve">40 </w:t>
            </w:r>
            <w:r>
              <w:rPr>
                <w:rFonts w:hint="default" w:ascii="Times New Roman" w:hAnsi="Times New Roman" w:eastAsia="微软雅黑" w:cs="Times New Roman"/>
                <w:b w:val="0"/>
                <w:bCs w:val="0"/>
                <w:sz w:val="21"/>
                <w:szCs w:val="21"/>
                <w:vertAlign w:val="baseline"/>
                <w:lang w:val="en-US" w:eastAsia="zh-CN"/>
              </w:rPr>
              <w:t>μl*</w:t>
            </w:r>
            <w:r>
              <w:rPr>
                <w:rFonts w:hint="eastAsia" w:ascii="Times New Roman" w:hAnsi="Times New Roman" w:eastAsia="微软雅黑" w:cs="Times New Roman"/>
                <w:b w:val="0"/>
                <w:bCs w:val="0"/>
                <w:sz w:val="21"/>
                <w:szCs w:val="21"/>
                <w:vertAlign w:val="baseline"/>
                <w:lang w:val="en-US" w:eastAsia="zh-CN"/>
              </w:rPr>
              <w:t>12</w:t>
            </w:r>
          </w:p>
        </w:tc>
        <w:tc>
          <w:tcPr>
            <w:tcW w:w="2753" w:type="pct"/>
            <w:tcBorders>
              <w:top w:val="nil"/>
              <w:bottom w:val="nil"/>
            </w:tcBorders>
            <w:noWrap w:val="0"/>
            <w:vAlign w:val="center"/>
          </w:tcPr>
          <w:p w14:paraId="2F52B39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终止试剂，终止酶解反应</w:t>
            </w:r>
          </w:p>
        </w:tc>
        <w:tc>
          <w:tcPr>
            <w:tcW w:w="699" w:type="pct"/>
            <w:tcBorders>
              <w:top w:val="nil"/>
              <w:bottom w:val="nil"/>
            </w:tcBorders>
            <w:noWrap w:val="0"/>
            <w:vAlign w:val="center"/>
          </w:tcPr>
          <w:p w14:paraId="3946AC7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31218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4" w:type="pct"/>
            <w:tcBorders>
              <w:top w:val="nil"/>
              <w:bottom w:val="nil"/>
            </w:tcBorders>
            <w:noWrap w:val="0"/>
            <w:vAlign w:val="center"/>
          </w:tcPr>
          <w:p w14:paraId="74CA0BE8">
            <w:pPr>
              <w:jc w:val="center"/>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Cartridge</w:t>
            </w:r>
          </w:p>
        </w:tc>
        <w:tc>
          <w:tcPr>
            <w:tcW w:w="793" w:type="pct"/>
            <w:tcBorders>
              <w:top w:val="nil"/>
              <w:bottom w:val="nil"/>
            </w:tcBorders>
            <w:noWrap w:val="0"/>
            <w:vAlign w:val="center"/>
          </w:tcPr>
          <w:p w14:paraId="1861D4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b w:val="0"/>
                <w:bCs w:val="0"/>
                <w:sz w:val="21"/>
                <w:szCs w:val="21"/>
                <w:vertAlign w:val="baseline"/>
                <w:lang w:val="en-US" w:eastAsia="zh-CN"/>
              </w:rPr>
              <w:t>20</w:t>
            </w:r>
            <w:r>
              <w:rPr>
                <w:rFonts w:hint="eastAsia" w:ascii="Times New Roman" w:hAnsi="Times New Roman" w:eastAsia="微软雅黑" w:cs="Times New Roman"/>
                <w:b w:val="0"/>
                <w:bCs w:val="0"/>
                <w:sz w:val="21"/>
                <w:szCs w:val="21"/>
                <w:vertAlign w:val="baseline"/>
                <w:lang w:val="en-US" w:eastAsia="zh-CN"/>
              </w:rPr>
              <w:t xml:space="preserve"> </w:t>
            </w:r>
            <w:r>
              <w:rPr>
                <w:rFonts w:hint="default" w:ascii="Times New Roman" w:hAnsi="Times New Roman" w:eastAsia="微软雅黑" w:cs="Times New Roman"/>
                <w:b w:val="0"/>
                <w:bCs w:val="0"/>
                <w:sz w:val="21"/>
                <w:szCs w:val="21"/>
                <w:vertAlign w:val="baseline"/>
                <w:lang w:val="en-US" w:eastAsia="zh-CN"/>
              </w:rPr>
              <w:t>μg载量*</w:t>
            </w:r>
            <w:r>
              <w:rPr>
                <w:rFonts w:hint="eastAsia" w:ascii="Times New Roman" w:hAnsi="Times New Roman" w:eastAsia="微软雅黑" w:cs="Times New Roman"/>
                <w:b w:val="0"/>
                <w:bCs w:val="0"/>
                <w:sz w:val="21"/>
                <w:szCs w:val="21"/>
                <w:vertAlign w:val="baseline"/>
                <w:lang w:val="en-US" w:eastAsia="zh-CN"/>
              </w:rPr>
              <w:t>96</w:t>
            </w:r>
          </w:p>
        </w:tc>
        <w:tc>
          <w:tcPr>
            <w:tcW w:w="2753" w:type="pct"/>
            <w:tcBorders>
              <w:top w:val="nil"/>
              <w:bottom w:val="nil"/>
            </w:tcBorders>
            <w:noWrap w:val="0"/>
            <w:vAlign w:val="center"/>
          </w:tcPr>
          <w:p w14:paraId="2C529D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b w:val="0"/>
                <w:bCs w:val="0"/>
                <w:sz w:val="21"/>
                <w:szCs w:val="21"/>
                <w:vertAlign w:val="baseline"/>
                <w:lang w:val="en-US" w:eastAsia="zh-CN"/>
              </w:rPr>
              <w:t>肽段脱盐</w:t>
            </w:r>
          </w:p>
        </w:tc>
        <w:tc>
          <w:tcPr>
            <w:tcW w:w="699" w:type="pct"/>
            <w:tcBorders>
              <w:top w:val="nil"/>
              <w:bottom w:val="nil"/>
            </w:tcBorders>
            <w:noWrap w:val="0"/>
            <w:vAlign w:val="center"/>
          </w:tcPr>
          <w:p w14:paraId="716F9E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b w:val="0"/>
                <w:bCs w:val="0"/>
                <w:sz w:val="21"/>
                <w:szCs w:val="21"/>
                <w:vertAlign w:val="baseline"/>
                <w:lang w:val="en-US" w:eastAsia="zh-CN"/>
              </w:rPr>
              <w:t>常温</w:t>
            </w:r>
          </w:p>
        </w:tc>
      </w:tr>
      <w:tr w14:paraId="1270E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54" w:type="pct"/>
            <w:tcBorders>
              <w:top w:val="nil"/>
              <w:bottom w:val="nil"/>
            </w:tcBorders>
            <w:noWrap w:val="0"/>
            <w:vAlign w:val="center"/>
          </w:tcPr>
          <w:p w14:paraId="49214E91">
            <w:pPr>
              <w:spacing w:line="360" w:lineRule="auto"/>
              <w:jc w:val="both"/>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 xml:space="preserve">    S板</w:t>
            </w:r>
          </w:p>
        </w:tc>
        <w:tc>
          <w:tcPr>
            <w:tcW w:w="793" w:type="pct"/>
            <w:tcBorders>
              <w:top w:val="nil"/>
              <w:bottom w:val="nil"/>
            </w:tcBorders>
            <w:noWrap w:val="0"/>
            <w:vAlign w:val="center"/>
          </w:tcPr>
          <w:p w14:paraId="7CDCDDF4">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1（96X）</w:t>
            </w:r>
          </w:p>
        </w:tc>
        <w:tc>
          <w:tcPr>
            <w:tcW w:w="2753" w:type="pct"/>
            <w:tcBorders>
              <w:top w:val="nil"/>
              <w:bottom w:val="nil"/>
            </w:tcBorders>
            <w:noWrap w:val="0"/>
            <w:vAlign w:val="center"/>
          </w:tcPr>
          <w:p w14:paraId="26B5B59E">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用于样品的还原烷基化、酶解</w:t>
            </w:r>
          </w:p>
        </w:tc>
        <w:tc>
          <w:tcPr>
            <w:tcW w:w="699" w:type="pct"/>
            <w:tcBorders>
              <w:top w:val="nil"/>
              <w:bottom w:val="nil"/>
            </w:tcBorders>
            <w:noWrap w:val="0"/>
            <w:vAlign w:val="center"/>
          </w:tcPr>
          <w:p w14:paraId="77E3CB6F">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常温</w:t>
            </w:r>
          </w:p>
        </w:tc>
      </w:tr>
      <w:tr w14:paraId="5CA38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noWrap w:val="0"/>
            <w:vAlign w:val="center"/>
          </w:tcPr>
          <w:p w14:paraId="5E1F1D6F">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Waste 板</w:t>
            </w:r>
          </w:p>
        </w:tc>
        <w:tc>
          <w:tcPr>
            <w:tcW w:w="0" w:type="auto"/>
            <w:noWrap w:val="0"/>
            <w:vAlign w:val="center"/>
          </w:tcPr>
          <w:p w14:paraId="6D7E74ED">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1（96X）</w:t>
            </w:r>
          </w:p>
        </w:tc>
        <w:tc>
          <w:tcPr>
            <w:tcW w:w="0" w:type="auto"/>
            <w:noWrap w:val="0"/>
            <w:vAlign w:val="center"/>
          </w:tcPr>
          <w:p w14:paraId="2BEDC566">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脱盐废液收集</w:t>
            </w:r>
          </w:p>
        </w:tc>
        <w:tc>
          <w:tcPr>
            <w:tcW w:w="0" w:type="auto"/>
            <w:noWrap w:val="0"/>
            <w:vAlign w:val="center"/>
          </w:tcPr>
          <w:p w14:paraId="1382DE22">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常温</w:t>
            </w:r>
          </w:p>
        </w:tc>
      </w:tr>
      <w:tr w14:paraId="3E91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noWrap w:val="0"/>
            <w:vAlign w:val="center"/>
          </w:tcPr>
          <w:p w14:paraId="1D121DEB">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Collection 板</w:t>
            </w:r>
          </w:p>
        </w:tc>
        <w:tc>
          <w:tcPr>
            <w:tcW w:w="0" w:type="auto"/>
            <w:noWrap w:val="0"/>
            <w:vAlign w:val="center"/>
          </w:tcPr>
          <w:p w14:paraId="7325BD15">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1（96X）</w:t>
            </w:r>
          </w:p>
        </w:tc>
        <w:tc>
          <w:tcPr>
            <w:tcW w:w="0" w:type="auto"/>
            <w:noWrap w:val="0"/>
            <w:vAlign w:val="center"/>
          </w:tcPr>
          <w:p w14:paraId="072A7BB2">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洗脱肽段收集</w:t>
            </w:r>
          </w:p>
        </w:tc>
        <w:tc>
          <w:tcPr>
            <w:tcW w:w="0" w:type="auto"/>
            <w:noWrap w:val="0"/>
            <w:vAlign w:val="center"/>
          </w:tcPr>
          <w:p w14:paraId="41CA16E9">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lang w:val="en-US" w:eastAsia="zh-CN"/>
              </w:rPr>
              <w:t>常温</w:t>
            </w:r>
          </w:p>
        </w:tc>
      </w:tr>
      <w:tr w14:paraId="1BC3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0" w:type="auto"/>
            <w:noWrap w:val="0"/>
            <w:vAlign w:val="center"/>
          </w:tcPr>
          <w:p w14:paraId="3B75A666">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封口膜</w:t>
            </w:r>
          </w:p>
        </w:tc>
        <w:tc>
          <w:tcPr>
            <w:tcW w:w="0" w:type="auto"/>
            <w:noWrap w:val="0"/>
            <w:vAlign w:val="center"/>
          </w:tcPr>
          <w:p w14:paraId="670FD015">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1</w:t>
            </w:r>
          </w:p>
        </w:tc>
        <w:tc>
          <w:tcPr>
            <w:tcW w:w="0" w:type="auto"/>
            <w:noWrap w:val="0"/>
            <w:vAlign w:val="center"/>
          </w:tcPr>
          <w:p w14:paraId="38034797">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0" w:type="auto"/>
            <w:noWrap w:val="0"/>
            <w:vAlign w:val="center"/>
          </w:tcPr>
          <w:p w14:paraId="6EECA468">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常温</w:t>
            </w:r>
          </w:p>
        </w:tc>
      </w:tr>
      <w:tr w14:paraId="69B99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436" w:type="dxa"/>
            <w:tcBorders>
              <w:bottom w:val="single" w:color="000000" w:sz="8" w:space="0"/>
            </w:tcBorders>
            <w:noWrap w:val="0"/>
            <w:vAlign w:val="center"/>
          </w:tcPr>
          <w:p w14:paraId="19816EC1">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Adaptor</w:t>
            </w:r>
          </w:p>
        </w:tc>
        <w:tc>
          <w:tcPr>
            <w:tcW w:w="1511" w:type="dxa"/>
            <w:tcBorders>
              <w:bottom w:val="single" w:color="000000" w:sz="8" w:space="0"/>
            </w:tcBorders>
            <w:noWrap w:val="0"/>
            <w:vAlign w:val="center"/>
          </w:tcPr>
          <w:p w14:paraId="79CA9675">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5246" w:type="dxa"/>
            <w:tcBorders>
              <w:bottom w:val="single" w:color="000000" w:sz="8" w:space="0"/>
            </w:tcBorders>
            <w:noWrap w:val="0"/>
            <w:vAlign w:val="center"/>
          </w:tcPr>
          <w:p w14:paraId="59A15D67">
            <w:pPr>
              <w:spacing w:line="360" w:lineRule="auto"/>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96孔板除盐适配器</w:t>
            </w:r>
            <w:r>
              <w:rPr>
                <w:rFonts w:hint="eastAsia" w:ascii="Times New Roman" w:hAnsi="Times New Roman" w:eastAsia="微软雅黑" w:cs="Times New Roman"/>
                <w:sz w:val="18"/>
                <w:szCs w:val="18"/>
                <w:lang w:val="en-US" w:eastAsia="zh-CN"/>
              </w:rPr>
              <w:t>（仅在首次购买96X试剂盒时附赠）</w:t>
            </w:r>
          </w:p>
        </w:tc>
        <w:tc>
          <w:tcPr>
            <w:tcW w:w="1332" w:type="dxa"/>
            <w:tcBorders>
              <w:bottom w:val="single" w:color="000000" w:sz="8" w:space="0"/>
            </w:tcBorders>
            <w:noWrap w:val="0"/>
            <w:vAlign w:val="center"/>
          </w:tcPr>
          <w:p w14:paraId="2C599B02">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常温</w:t>
            </w:r>
          </w:p>
        </w:tc>
      </w:tr>
    </w:tbl>
    <w:p w14:paraId="454E2EC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D1B0054">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296526DD">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Micro前处理制备试剂盒旨在以较少的样品制备步骤和较短的操作时间获得最佳的实验结果。适用于组织、细胞、体液、菌体等各种样本类型，尤其对于蛋白质组学大队列样本的制备过程充分体现出其高通量、高稳健性的优势。该试剂盒提供蛋白制备包括蛋白变性、还原烷基化、蛋白酶解以及肽段脱盐过程的相关试剂。基于溶液内快速酶解的前处理方法，解决了传统方法样本用量多、试剂成本高、损失大、耗时长的弊端，仅需2-3小时即可完成质谱检测前的所有步骤，且平行性好，以实现微量蛋白的快速制备及蛋白质组深度覆盖检测。</w:t>
      </w:r>
    </w:p>
    <w:p w14:paraId="09207432">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911215" cy="2957195"/>
            <wp:effectExtent l="0" t="0" r="0" b="14605"/>
            <wp:docPr id="1" name="图片 11" descr="微量96X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微量96X白色除盐头"/>
                    <pic:cNvPicPr>
                      <a:picLocks noChangeAspect="1"/>
                    </pic:cNvPicPr>
                  </pic:nvPicPr>
                  <pic:blipFill>
                    <a:blip r:embed="rId6"/>
                    <a:stretch>
                      <a:fillRect/>
                    </a:stretch>
                  </pic:blipFill>
                  <pic:spPr>
                    <a:xfrm>
                      <a:off x="0" y="0"/>
                      <a:ext cx="5911215" cy="2957195"/>
                    </a:xfrm>
                    <a:prstGeom prst="rect">
                      <a:avLst/>
                    </a:prstGeom>
                    <a:noFill/>
                    <a:ln>
                      <a:noFill/>
                    </a:ln>
                  </pic:spPr>
                </pic:pic>
              </a:graphicData>
            </a:graphic>
          </wp:inline>
        </w:drawing>
      </w:r>
    </w:p>
    <w:p w14:paraId="0BC76F98">
      <w:pPr>
        <w:jc w:val="left"/>
        <w:rPr>
          <w:rFonts w:hint="eastAsia" w:ascii="Times New Roman" w:hAnsi="Times New Roman" w:eastAsia="微软雅黑" w:cs="Times New Roman"/>
          <w:sz w:val="18"/>
          <w:szCs w:val="18"/>
          <w:lang w:val="en-US" w:eastAsia="zh-CN"/>
        </w:rPr>
      </w:pPr>
    </w:p>
    <w:p w14:paraId="48312DF7">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1B6F500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77"/>
        <w:gridCol w:w="1447"/>
        <w:gridCol w:w="6208"/>
      </w:tblGrid>
      <w:tr w14:paraId="6FA3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6" w:space="0"/>
              <w:bottom w:val="single" w:color="auto" w:sz="4" w:space="0"/>
            </w:tcBorders>
            <w:noWrap w:val="0"/>
            <w:vAlign w:val="center"/>
          </w:tcPr>
          <w:p w14:paraId="49E43E4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59" w:type="pct"/>
            <w:tcBorders>
              <w:top w:val="single" w:color="auto" w:sz="6" w:space="0"/>
              <w:bottom w:val="single" w:color="auto" w:sz="4" w:space="0"/>
            </w:tcBorders>
            <w:noWrap w:val="0"/>
            <w:vAlign w:val="center"/>
          </w:tcPr>
          <w:p w14:paraId="607501AD">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4C2B6F6C">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151D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single" w:color="auto" w:sz="4" w:space="0"/>
              <w:bottom w:val="nil"/>
            </w:tcBorders>
            <w:noWrap w:val="0"/>
            <w:vAlign w:val="center"/>
          </w:tcPr>
          <w:p w14:paraId="204CB538">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59" w:type="pct"/>
            <w:tcBorders>
              <w:top w:val="single" w:color="auto" w:sz="4" w:space="0"/>
              <w:bottom w:val="nil"/>
            </w:tcBorders>
            <w:noWrap w:val="0"/>
            <w:vAlign w:val="center"/>
          </w:tcPr>
          <w:p w14:paraId="483093FD">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67739A9D">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01CE5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6FD7350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59" w:type="pct"/>
            <w:tcBorders>
              <w:top w:val="nil"/>
              <w:bottom w:val="nil"/>
            </w:tcBorders>
            <w:noWrap w:val="0"/>
            <w:vAlign w:val="center"/>
          </w:tcPr>
          <w:p w14:paraId="612A45B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0DC402A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731E0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7DCE290D">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59" w:type="pct"/>
            <w:tcBorders>
              <w:top w:val="nil"/>
              <w:bottom w:val="nil"/>
            </w:tcBorders>
            <w:noWrap w:val="0"/>
            <w:vAlign w:val="center"/>
          </w:tcPr>
          <w:p w14:paraId="4AFECFC5">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423545" cy="753110"/>
                  <wp:effectExtent l="0" t="0" r="14605" b="889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9"/>
                          <a:stretch>
                            <a:fillRect/>
                          </a:stretch>
                        </pic:blipFill>
                        <pic:spPr>
                          <a:xfrm>
                            <a:off x="0" y="0"/>
                            <a:ext cx="423545" cy="753110"/>
                          </a:xfrm>
                          <a:prstGeom prst="rect">
                            <a:avLst/>
                          </a:prstGeom>
                          <a:noFill/>
                          <a:ln>
                            <a:noFill/>
                          </a:ln>
                        </pic:spPr>
                      </pic:pic>
                    </a:graphicData>
                  </a:graphic>
                </wp:inline>
              </w:drawing>
            </w:r>
          </w:p>
        </w:tc>
        <w:tc>
          <w:tcPr>
            <w:tcW w:w="3256" w:type="pct"/>
            <w:tcBorders>
              <w:top w:val="nil"/>
              <w:bottom w:val="nil"/>
            </w:tcBorders>
            <w:noWrap w:val="0"/>
            <w:vAlign w:val="center"/>
          </w:tcPr>
          <w:p w14:paraId="5A826A53">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14C2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84" w:type="pct"/>
            <w:tcBorders>
              <w:top w:val="nil"/>
              <w:bottom w:val="nil"/>
            </w:tcBorders>
            <w:noWrap w:val="0"/>
            <w:vAlign w:val="center"/>
          </w:tcPr>
          <w:p w14:paraId="75101AE2">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59" w:type="pct"/>
            <w:tcBorders>
              <w:top w:val="nil"/>
              <w:bottom w:val="nil"/>
            </w:tcBorders>
            <w:noWrap w:val="0"/>
            <w:vAlign w:val="center"/>
          </w:tcPr>
          <w:p w14:paraId="685D7321">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635" b="7620"/>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10"/>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noWrap w:val="0"/>
            <w:vAlign w:val="center"/>
          </w:tcPr>
          <w:p w14:paraId="4618AC64">
            <w:pPr>
              <w:spacing w:line="240" w:lineRule="auto"/>
              <w:jc w:val="left"/>
              <w:rPr>
                <w:rFonts w:hint="default"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76E1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84" w:type="pct"/>
            <w:tcBorders>
              <w:top w:val="nil"/>
              <w:bottom w:val="single" w:color="auto" w:sz="4" w:space="0"/>
            </w:tcBorders>
            <w:noWrap w:val="0"/>
            <w:vAlign w:val="center"/>
          </w:tcPr>
          <w:p w14:paraId="211CD0BF">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59" w:type="pct"/>
            <w:tcBorders>
              <w:top w:val="nil"/>
              <w:bottom w:val="single" w:color="auto" w:sz="4" w:space="0"/>
            </w:tcBorders>
            <w:noWrap w:val="0"/>
            <w:vAlign w:val="center"/>
          </w:tcPr>
          <w:p w14:paraId="5A6410F8">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1460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7807CC2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107337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640F83BC">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4E68624C">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50306276">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52A491DC">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137C7B53">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30F98B80">
      <w:pPr>
        <w:widowControl/>
        <w:spacing w:line="240" w:lineRule="auto"/>
        <w:jc w:val="left"/>
        <w:rPr>
          <w:rFonts w:ascii="Times New Roman" w:hAnsi="Times New Roman" w:eastAsia="微软雅黑" w:cs="Times New Roman"/>
          <w:b/>
          <w:bCs/>
          <w:sz w:val="21"/>
          <w:szCs w:val="21"/>
        </w:rPr>
      </w:pPr>
    </w:p>
    <w:p w14:paraId="3279069D">
      <w:pPr>
        <w:spacing w:line="240" w:lineRule="auto"/>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4. 试剂准备</w:t>
      </w:r>
    </w:p>
    <w:p w14:paraId="3BA640FF">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Condition buffer：</w:t>
      </w:r>
      <w:r>
        <w:rPr>
          <w:rFonts w:hint="default" w:ascii="Times New Roman" w:hAnsi="Times New Roman" w:eastAsia="微软雅黑" w:cs="Times New Roman"/>
          <w:color w:val="000000"/>
          <w:kern w:val="0"/>
          <w:sz w:val="21"/>
          <w:szCs w:val="21"/>
          <w:lang w:bidi="ar"/>
        </w:rPr>
        <w:t>70%ACN，0.2%TFA，每个样本需要100μl，2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2.98m</w:t>
      </w:r>
      <w:r>
        <w:rPr>
          <w:rFonts w:hint="default" w:ascii="Times New Roman" w:hAnsi="Times New Roman" w:eastAsia="微软雅黑" w:cs="Times New Roman"/>
          <w:color w:val="000000"/>
          <w:kern w:val="0"/>
          <w:sz w:val="21"/>
          <w:szCs w:val="21"/>
          <w:lang w:bidi="ar"/>
        </w:rPr>
        <w:t>l超纯水和7</w:t>
      </w:r>
      <w:r>
        <w:rPr>
          <w:rFonts w:hint="eastAsia" w:ascii="Times New Roman" w:hAnsi="Times New Roman" w:eastAsia="微软雅黑" w:cs="Times New Roman"/>
          <w:color w:val="000000"/>
          <w:kern w:val="0"/>
          <w:sz w:val="21"/>
          <w:szCs w:val="21"/>
          <w:lang w:val="en-US" w:eastAsia="zh-CN" w:bidi="ar"/>
        </w:rPr>
        <w:t>m</w:t>
      </w:r>
      <w:r>
        <w:rPr>
          <w:rFonts w:hint="default" w:ascii="Times New Roman" w:hAnsi="Times New Roman" w:eastAsia="微软雅黑" w:cs="Times New Roman"/>
          <w:color w:val="000000"/>
          <w:kern w:val="0"/>
          <w:sz w:val="21"/>
          <w:szCs w:val="21"/>
          <w:lang w:bidi="ar"/>
        </w:rPr>
        <w:t>l无水乙腈中，混匀；</w:t>
      </w:r>
    </w:p>
    <w:p w14:paraId="2FB6EC21">
      <w:pPr>
        <w:widowControl/>
        <w:spacing w:line="240" w:lineRule="auto"/>
        <w:jc w:val="left"/>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Wash buffer：</w:t>
      </w:r>
      <w:r>
        <w:rPr>
          <w:rFonts w:hint="default"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hint="default" w:ascii="Times New Roman" w:hAnsi="Times New Roman" w:eastAsia="微软雅黑" w:cs="Times New Roman"/>
          <w:color w:val="000000"/>
          <w:kern w:val="0"/>
          <w:sz w:val="21"/>
          <w:szCs w:val="21"/>
          <w:lang w:bidi="ar"/>
        </w:rPr>
        <w:t>l超纯水，混匀；</w:t>
      </w:r>
    </w:p>
    <w:p w14:paraId="09452603">
      <w:pPr>
        <w:spacing w:line="240" w:lineRule="auto"/>
        <w:rPr>
          <w:rFonts w:ascii="Times New Roman" w:hAnsi="Times New Roman" w:eastAsia="微软雅黑" w:cs="Times New Roman"/>
          <w:color w:val="000000"/>
          <w:kern w:val="0"/>
          <w:sz w:val="21"/>
          <w:szCs w:val="21"/>
          <w:lang w:bidi="ar"/>
        </w:rPr>
      </w:pPr>
      <w:r>
        <w:rPr>
          <w:rFonts w:hint="default" w:ascii="Times New Roman" w:hAnsi="Times New Roman" w:eastAsia="微软雅黑" w:cs="Times New Roman"/>
          <w:b/>
          <w:bCs/>
          <w:color w:val="000000"/>
          <w:kern w:val="0"/>
          <w:sz w:val="21"/>
          <w:szCs w:val="21"/>
          <w:lang w:bidi="ar"/>
        </w:rPr>
        <w:t>Elution buffer：</w:t>
      </w:r>
      <w:r>
        <w:rPr>
          <w:rFonts w:hint="default"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bidi="ar"/>
        </w:rPr>
        <w:t>0μl，2</w:t>
      </w:r>
      <w:r>
        <w:rPr>
          <w:rFonts w:hint="eastAsia" w:ascii="Times New Roman" w:hAnsi="Times New Roman" w:eastAsia="微软雅黑" w:cs="Times New Roman"/>
          <w:color w:val="000000"/>
          <w:kern w:val="0"/>
          <w:sz w:val="21"/>
          <w:szCs w:val="21"/>
          <w:lang w:val="en-US" w:eastAsia="zh-CN" w:bidi="ar"/>
        </w:rPr>
        <w:t>0</w:t>
      </w:r>
      <w:r>
        <w:rPr>
          <w:rFonts w:hint="default"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1.98m</w:t>
      </w:r>
      <w:r>
        <w:rPr>
          <w:rFonts w:hint="default"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9m</w:t>
      </w:r>
      <w:r>
        <w:rPr>
          <w:rFonts w:hint="default" w:ascii="Times New Roman" w:hAnsi="Times New Roman" w:eastAsia="微软雅黑" w:cs="Times New Roman"/>
          <w:color w:val="000000"/>
          <w:kern w:val="0"/>
          <w:sz w:val="21"/>
          <w:szCs w:val="21"/>
          <w:lang w:bidi="ar"/>
        </w:rPr>
        <w:t>l无水乙腈中，混匀。</w:t>
      </w:r>
    </w:p>
    <w:p w14:paraId="7C3E9F24">
      <w:pPr>
        <w:spacing w:line="240" w:lineRule="auto"/>
        <w:rPr>
          <w:rFonts w:hint="default" w:ascii="Times New Roman" w:hAnsi="Times New Roman" w:eastAsia="微软雅黑" w:cs="Times New Roman"/>
          <w:color w:val="FF0000"/>
          <w:kern w:val="0"/>
          <w:sz w:val="21"/>
          <w:szCs w:val="21"/>
          <w:lang w:bidi="ar"/>
        </w:rPr>
      </w:pPr>
      <w:r>
        <w:rPr>
          <w:rFonts w:hint="default" w:ascii="Times New Roman" w:hAnsi="Times New Roman" w:eastAsia="微软雅黑" w:cs="Times New Roman"/>
          <w:b/>
          <w:bCs/>
          <w:sz w:val="21"/>
          <w:szCs w:val="21"/>
        </w:rPr>
        <w:t>5. 操作过程</w:t>
      </w:r>
    </w:p>
    <w:p w14:paraId="57D568B5">
      <w:pPr>
        <w:spacing w:line="240" w:lineRule="auto"/>
        <w:rPr>
          <w:rFonts w:hint="default" w:ascii="Times New Roman" w:hAnsi="Times New Roman" w:eastAsia="微软雅黑" w:cs="Times New Roman"/>
          <w:b/>
          <w:bCs/>
          <w:sz w:val="21"/>
          <w:szCs w:val="21"/>
          <w:lang w:val="en-US" w:eastAsia="zh-CN"/>
        </w:rPr>
      </w:pPr>
      <w:r>
        <w:rPr>
          <w:rFonts w:hint="default" w:ascii="Times New Roman" w:hAnsi="Times New Roman" w:eastAsia="微软雅黑" w:cs="Times New Roman"/>
          <w:b/>
          <w:bCs/>
          <w:sz w:val="21"/>
          <w:szCs w:val="21"/>
          <w:lang w:val="en-US" w:eastAsia="zh-CN"/>
        </w:rPr>
        <w:t>5.1 蛋白提取</w:t>
      </w:r>
    </w:p>
    <w:p w14:paraId="03595D0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对于细胞样本，细胞沉淀</w:t>
      </w:r>
      <w:r>
        <w:rPr>
          <w:rFonts w:hint="eastAsia" w:ascii="Times New Roman" w:hAnsi="Times New Roman" w:eastAsia="微软雅黑" w:cs="Times New Roman"/>
          <w:color w:val="000000"/>
          <w:kern w:val="0"/>
          <w:sz w:val="21"/>
          <w:szCs w:val="21"/>
          <w:lang w:val="en-US" w:eastAsia="zh-CN" w:bidi="ar"/>
        </w:rPr>
        <w:t>中</w:t>
      </w:r>
      <w:r>
        <w:rPr>
          <w:rFonts w:hint="default" w:ascii="Times New Roman" w:hAnsi="Times New Roman" w:eastAsia="微软雅黑" w:cs="Times New Roman"/>
          <w:color w:val="000000"/>
          <w:kern w:val="0"/>
          <w:sz w:val="21"/>
          <w:szCs w:val="21"/>
          <w:lang w:val="en-US" w:eastAsia="zh-CN" w:bidi="ar"/>
        </w:rPr>
        <w:t>加入适量试剂 0（建议细胞量不要超过1E6。参考体积比，细胞沉淀：试剂0约 1:5）涡旋混匀，</w:t>
      </w:r>
      <w:r>
        <w:rPr>
          <w:rFonts w:hint="default" w:ascii="Times New Roman" w:hAnsi="Times New Roman" w:eastAsia="微软雅黑" w:cs="Times New Roman"/>
          <w:color w:val="000000"/>
          <w:kern w:val="0"/>
          <w:sz w:val="21"/>
          <w:szCs w:val="21"/>
          <w:highlight w:val="none"/>
          <w:lang w:val="en-US" w:eastAsia="zh-CN" w:bidi="ar"/>
        </w:rPr>
        <w:t>200μl</w:t>
      </w:r>
      <w:r>
        <w:rPr>
          <w:rFonts w:hint="default" w:ascii="Times New Roman" w:hAnsi="Times New Roman" w:eastAsia="微软雅黑" w:cs="Times New Roman"/>
          <w:color w:val="000000"/>
          <w:kern w:val="0"/>
          <w:sz w:val="21"/>
          <w:szCs w:val="21"/>
          <w:lang w:val="en-US" w:eastAsia="zh-CN" w:bidi="ar"/>
        </w:rPr>
        <w:t>枪头反复吹打15-20次，</w:t>
      </w:r>
      <w:r>
        <w:rPr>
          <w:rFonts w:hint="default" w:ascii="Times New Roman" w:hAnsi="Times New Roman" w:eastAsia="微软雅黑" w:cs="Times New Roman"/>
          <w:color w:val="auto"/>
          <w:kern w:val="0"/>
          <w:sz w:val="21"/>
          <w:szCs w:val="21"/>
          <w:lang w:val="en-US" w:eastAsia="zh-CN" w:bidi="ar"/>
        </w:rPr>
        <w:t>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min（95℃，1000rpm）；</w:t>
      </w:r>
    </w:p>
    <w:p w14:paraId="64D1D26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val="en-US" w:eastAsia="zh-CN" w:bidi="ar"/>
        </w:rPr>
        <w:t>注：样品出现粘稠时使用超声波细胞破碎仪冰上超声2 min （25-30Hz ,每10s停10s）；</w:t>
      </w:r>
    </w:p>
    <w:p w14:paraId="17E61E8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对于组织样本，取适量组织样品加入试剂0（按1：8的比例加入试剂0，即25mg组织加入200</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试剂0），</w:t>
      </w:r>
      <w:r>
        <w:rPr>
          <w:rFonts w:hint="default" w:ascii="Times New Roman" w:hAnsi="Times New Roman" w:eastAsia="微软雅黑" w:cs="Times New Roman"/>
          <w:color w:val="auto"/>
          <w:kern w:val="0"/>
          <w:sz w:val="21"/>
          <w:szCs w:val="21"/>
          <w:lang w:val="en-US" w:eastAsia="zh-CN" w:bidi="ar"/>
        </w:rPr>
        <w:t>高通量组织研磨仪震荡研磨3次，金属浴95℃加热</w:t>
      </w:r>
      <w:r>
        <w:rPr>
          <w:rFonts w:hint="eastAsia" w:ascii="Times New Roman" w:hAnsi="Times New Roman" w:eastAsia="微软雅黑" w:cs="Times New Roman"/>
          <w:color w:val="auto"/>
          <w:kern w:val="0"/>
          <w:sz w:val="21"/>
          <w:szCs w:val="21"/>
          <w:lang w:val="en-US" w:eastAsia="zh-CN" w:bidi="ar"/>
        </w:rPr>
        <w:t>5</w:t>
      </w:r>
      <w:r>
        <w:rPr>
          <w:rFonts w:hint="default" w:ascii="Times New Roman" w:hAnsi="Times New Roman" w:eastAsia="微软雅黑" w:cs="Times New Roman"/>
          <w:color w:val="auto"/>
          <w:kern w:val="0"/>
          <w:sz w:val="21"/>
          <w:szCs w:val="21"/>
          <w:lang w:val="en-US" w:eastAsia="zh-CN" w:bidi="ar"/>
        </w:rPr>
        <w:t>min（95℃，1000rpm）</w:t>
      </w:r>
      <w:r>
        <w:rPr>
          <w:rFonts w:hint="default" w:ascii="Times New Roman" w:hAnsi="Times New Roman" w:eastAsia="微软雅黑" w:cs="Times New Roman"/>
          <w:color w:val="000000"/>
          <w:kern w:val="0"/>
          <w:sz w:val="21"/>
          <w:szCs w:val="21"/>
          <w:lang w:val="en-US" w:eastAsia="zh-CN" w:bidi="ar"/>
        </w:rPr>
        <w:t>；</w:t>
      </w:r>
    </w:p>
    <w:p w14:paraId="6F29701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420"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对于血液样本，可直接取0.5</w:t>
      </w:r>
      <w:r>
        <w:rPr>
          <w:rFonts w:hint="default" w:ascii="Times New Roman" w:hAnsi="Times New Roman" w:eastAsia="微软雅黑" w:cs="Times New Roman"/>
          <w:color w:val="000000"/>
          <w:kern w:val="0"/>
          <w:sz w:val="21"/>
          <w:szCs w:val="21"/>
          <w:highlight w:val="none"/>
          <w:lang w:val="en-US" w:eastAsia="zh-CN" w:bidi="ar"/>
        </w:rPr>
        <w:t>μl</w:t>
      </w:r>
      <w:r>
        <w:rPr>
          <w:rFonts w:hint="default" w:ascii="Times New Roman" w:hAnsi="Times New Roman" w:eastAsia="微软雅黑" w:cs="Times New Roman"/>
          <w:color w:val="000000"/>
          <w:kern w:val="0"/>
          <w:sz w:val="21"/>
          <w:szCs w:val="21"/>
          <w:lang w:val="en-US" w:eastAsia="zh-CN" w:bidi="ar"/>
        </w:rPr>
        <w:t>血液样本进行5.2 步骤a的操作；</w:t>
      </w:r>
    </w:p>
    <w:p w14:paraId="49221AF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4℃，12000g 离心 20min，取上清；</w:t>
      </w:r>
    </w:p>
    <w:p w14:paraId="41F2A96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上清进行 BCA 蛋白定量；</w:t>
      </w:r>
    </w:p>
    <w:p w14:paraId="2398C8F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b w:val="0"/>
          <w:bCs w:val="0"/>
          <w:sz w:val="21"/>
          <w:szCs w:val="21"/>
          <w:lang w:val="en-US" w:eastAsia="zh-CN"/>
        </w:rPr>
      </w:pPr>
      <w:r>
        <w:rPr>
          <w:rFonts w:hint="default" w:ascii="Times New Roman" w:hAnsi="Times New Roman" w:eastAsia="微软雅黑" w:cs="Times New Roman"/>
          <w:b w:val="0"/>
          <w:bCs w:val="0"/>
          <w:color w:val="000000"/>
          <w:kern w:val="0"/>
          <w:sz w:val="21"/>
          <w:szCs w:val="21"/>
          <w:lang w:val="en-US" w:eastAsia="zh-CN" w:bidi="ar"/>
        </w:rPr>
        <w:t>根据定量结果，建议取1-30μg 蛋白样品进行后续操作。</w:t>
      </w:r>
    </w:p>
    <w:p w14:paraId="4260A3A7">
      <w:pPr>
        <w:spacing w:line="240" w:lineRule="auto"/>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5.</w:t>
      </w:r>
      <w:r>
        <w:rPr>
          <w:rFonts w:hint="default" w:ascii="Times New Roman" w:hAnsi="Times New Roman" w:eastAsia="微软雅黑" w:cs="Times New Roman"/>
          <w:b/>
          <w:bCs/>
          <w:sz w:val="21"/>
          <w:szCs w:val="21"/>
          <w:lang w:val="en-US" w:eastAsia="zh-CN"/>
        </w:rPr>
        <w:t>2</w:t>
      </w:r>
      <w:r>
        <w:rPr>
          <w:rFonts w:hint="default" w:ascii="Times New Roman" w:hAnsi="Times New Roman" w:eastAsia="微软雅黑" w:cs="Times New Roman"/>
          <w:b/>
          <w:bCs/>
          <w:sz w:val="21"/>
          <w:szCs w:val="21"/>
        </w:rPr>
        <w:t xml:space="preserve"> 蛋白酶解</w:t>
      </w:r>
    </w:p>
    <w:p w14:paraId="746FD2C1">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步骤5.1 d中得到的蛋白溶液</w:t>
      </w:r>
      <w:r>
        <w:rPr>
          <w:rFonts w:hint="default" w:ascii="Times New Roman" w:hAnsi="Times New Roman" w:eastAsia="微软雅黑" w:cs="Times New Roman"/>
          <w:color w:val="FF0000"/>
          <w:kern w:val="0"/>
          <w:sz w:val="21"/>
          <w:szCs w:val="21"/>
          <w:lang w:val="en-US" w:eastAsia="zh-CN" w:bidi="ar"/>
        </w:rPr>
        <w:t>（建议总体积不超过20μl）</w:t>
      </w:r>
      <w:r>
        <w:rPr>
          <w:rFonts w:hint="default" w:ascii="Times New Roman" w:hAnsi="Times New Roman" w:eastAsia="微软雅黑" w:cs="Times New Roman"/>
          <w:color w:val="000000"/>
          <w:kern w:val="0"/>
          <w:sz w:val="21"/>
          <w:szCs w:val="21"/>
          <w:lang w:val="en-US" w:eastAsia="zh-CN" w:bidi="ar"/>
        </w:rPr>
        <w:t>依次加入S板，分别</w:t>
      </w:r>
      <w:r>
        <w:rPr>
          <w:rFonts w:hint="eastAsia"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val="en-US" w:eastAsia="zh-CN" w:bidi="ar"/>
        </w:rPr>
        <w:t>试剂A 20 μl，吹打混匀；</w:t>
      </w:r>
    </w:p>
    <w:p w14:paraId="7F05006E">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05B28487">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15</w:t>
      </w:r>
      <w:r>
        <w:rPr>
          <w:rFonts w:hint="default" w:ascii="Times New Roman" w:hAnsi="Times New Roman" w:eastAsia="微软雅黑" w:cs="Times New Roman"/>
          <w:color w:val="000000"/>
          <w:kern w:val="0"/>
          <w:sz w:val="21"/>
          <w:szCs w:val="21"/>
          <w:lang w:val="en-US" w:eastAsia="zh-CN" w:bidi="ar"/>
        </w:rPr>
        <w:t xml:space="preserve"> 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9F995A7">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4</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混匀，终止酶解反应，此时会有沉淀出现，</w:t>
      </w:r>
      <w:r>
        <w:rPr>
          <w:rFonts w:hint="eastAsia" w:ascii="Times New Roman" w:hAnsi="Times New Roman" w:eastAsia="微软雅黑" w:cs="Times New Roman"/>
          <w:b w:val="0"/>
          <w:bCs w:val="0"/>
          <w:color w:val="000000"/>
          <w:kern w:val="0"/>
          <w:sz w:val="21"/>
          <w:szCs w:val="21"/>
          <w:lang w:val="en-US" w:eastAsia="zh-CN" w:bidi="ar"/>
        </w:rPr>
        <w:t>14</w:t>
      </w:r>
      <w:r>
        <w:rPr>
          <w:rFonts w:hint="default" w:ascii="Times New Roman" w:hAnsi="Times New Roman" w:eastAsia="微软雅黑" w:cs="Times New Roman"/>
          <w:b w:val="0"/>
          <w:bCs w:val="0"/>
          <w:color w:val="000000"/>
          <w:kern w:val="0"/>
          <w:sz w:val="21"/>
          <w:szCs w:val="21"/>
          <w:lang w:val="en-US" w:eastAsia="zh-CN" w:bidi="ar"/>
        </w:rPr>
        <w:t>000g离心1min后吸取上清待后续脱盐。</w:t>
      </w:r>
    </w:p>
    <w:p w14:paraId="550DF13D">
      <w:pPr>
        <w:spacing w:line="240" w:lineRule="auto"/>
        <w:rPr>
          <w:rFonts w:hint="default" w:ascii="Times New Roman" w:hAnsi="Times New Roman" w:eastAsia="微软雅黑" w:cs="Times New Roman"/>
          <w:b/>
          <w:bCs/>
          <w:sz w:val="21"/>
          <w:szCs w:val="21"/>
        </w:rPr>
      </w:pPr>
      <w:r>
        <w:rPr>
          <w:rFonts w:hint="default" w:ascii="Times New Roman" w:hAnsi="Times New Roman" w:eastAsia="微软雅黑" w:cs="Times New Roman"/>
          <w:b/>
          <w:bCs/>
          <w:sz w:val="21"/>
          <w:szCs w:val="21"/>
        </w:rPr>
        <w:t>5.3 肽段脱盐</w:t>
      </w:r>
    </w:p>
    <w:p w14:paraId="525E9CA0">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7298524D">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Cartridge（脱盐柱）活化：100μl甲醇加入到脱盐柱中，700g离心1min；</w:t>
      </w:r>
    </w:p>
    <w:p w14:paraId="4F6E1E45">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Cartridge（脱盐柱）去杂质：100μl Condition buffer加入到脱盐柱中，700g离心1min；</w:t>
      </w:r>
    </w:p>
    <w:p w14:paraId="1BE250B7">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Cartridge（脱盐柱）平衡：100μl Wash buffer加入到脱盐柱中，700g离心1min，弃掉Waste板中的废液后，重新将Adaptor置于Waste板上；</w:t>
      </w:r>
    </w:p>
    <w:p w14:paraId="77FED36B">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加载样本：将样本（1-30μg）全部加载到脱盐柱中，700g离心1min，重复操作一次；</w:t>
      </w:r>
      <w:r>
        <w:rPr>
          <w:rFonts w:hint="default" w:ascii="Times New Roman" w:hAnsi="Times New Roman" w:eastAsia="微软雅黑" w:cs="Times New Roman"/>
          <w:color w:val="FF0000"/>
          <w:kern w:val="0"/>
          <w:sz w:val="21"/>
          <w:szCs w:val="21"/>
          <w:lang w:val="en-US" w:eastAsia="zh-CN" w:bidi="ar"/>
        </w:rPr>
        <w:t>（加样前测试样本的pH是否&lt; 3</w:t>
      </w:r>
      <w:r>
        <w:rPr>
          <w:rFonts w:hint="default" w:ascii="Times New Roman" w:hAnsi="Times New Roman" w:eastAsia="微软雅黑" w:cs="Times New Roman"/>
          <w:b w:val="0"/>
          <w:bCs w:val="0"/>
          <w:color w:val="FF0000"/>
          <w:kern w:val="0"/>
          <w:sz w:val="21"/>
          <w:szCs w:val="21"/>
          <w:lang w:val="en-US" w:eastAsia="zh-CN" w:bidi="ar"/>
        </w:rPr>
        <w:t>，使用20%TFA调pH＜3后加载样本</w:t>
      </w:r>
      <w:r>
        <w:rPr>
          <w:rFonts w:hint="default" w:ascii="Times New Roman" w:hAnsi="Times New Roman" w:eastAsia="微软雅黑" w:cs="Times New Roman"/>
          <w:color w:val="FF0000"/>
          <w:kern w:val="0"/>
          <w:sz w:val="21"/>
          <w:szCs w:val="21"/>
          <w:lang w:val="en-US" w:eastAsia="zh-CN" w:bidi="ar"/>
        </w:rPr>
        <w:t>）</w:t>
      </w:r>
    </w:p>
    <w:p w14:paraId="6C904F31">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Cartridge（脱盐柱）清洗：100μl Wash buffer加入到脱盐柱中，700g离心1min，重复操作一次；</w:t>
      </w:r>
    </w:p>
    <w:p w14:paraId="1A936124">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5468F3FD">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0μl Elution buffer加入到脱盐柱中，700g离心1min，洗脱两次，最终样本体积</w:t>
      </w:r>
      <w:r>
        <w:rPr>
          <w:rFonts w:hint="eastAsia" w:ascii="Times New Roman" w:hAnsi="Times New Roman" w:eastAsia="微软雅黑" w:cs="Times New Roman"/>
          <w:color w:val="000000"/>
          <w:kern w:val="0"/>
          <w:sz w:val="21"/>
          <w:szCs w:val="21"/>
          <w:lang w:val="en-US" w:eastAsia="zh-CN" w:bidi="ar"/>
        </w:rPr>
        <w:t>约</w:t>
      </w:r>
      <w:r>
        <w:rPr>
          <w:rFonts w:hint="default" w:ascii="Times New Roman" w:hAnsi="Times New Roman" w:eastAsia="微软雅黑" w:cs="Times New Roman"/>
          <w:color w:val="000000"/>
          <w:kern w:val="0"/>
          <w:sz w:val="21"/>
          <w:szCs w:val="21"/>
          <w:lang w:val="en-US" w:eastAsia="zh-CN" w:bidi="ar"/>
        </w:rPr>
        <w:t>为</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val="en-US" w:eastAsia="zh-CN" w:bidi="ar"/>
        </w:rPr>
        <w:t>μl；</w:t>
      </w:r>
    </w:p>
    <w:p w14:paraId="35E318C5">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真空冷冻离心浓缩仪浓缩样本。</w:t>
      </w:r>
    </w:p>
    <w:p w14:paraId="7012AF3D">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5A7363BE">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）放置10min，待结晶重溶后混合均匀使用；</w:t>
      </w:r>
    </w:p>
    <w:p w14:paraId="183C444C">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4DCD20F7">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5298D66">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5823D547">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4BAE2ED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01DF34CC">
      <w:pPr>
        <w:keepNext w:val="0"/>
        <w:keepLines w:val="0"/>
        <w:pageBreakBefore w:val="0"/>
        <w:widowControl/>
        <w:numPr>
          <w:ilvl w:val="0"/>
          <w:numId w:val="6"/>
        </w:numPr>
        <w:kinsoku/>
        <w:wordWrap/>
        <w:overflowPunct/>
        <w:topLinePunct w:val="0"/>
        <w:autoSpaceDE/>
        <w:autoSpaceDN/>
        <w:bidi w:val="0"/>
        <w:adjustRightInd/>
        <w:snapToGrid/>
        <w:spacing w:after="313" w:afterLines="100"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69F6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6071" w:type="dxa"/>
            <w:noWrap w:val="0"/>
            <w:vAlign w:val="top"/>
          </w:tcPr>
          <w:p w14:paraId="74F92949">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7" name="图片 10"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code"/>
                          <pic:cNvPicPr>
                            <a:picLocks noChangeAspect="1"/>
                          </pic:cNvPicPr>
                        </pic:nvPicPr>
                        <pic:blipFill>
                          <a:blip r:embed="rId12"/>
                          <a:stretch>
                            <a:fillRect/>
                          </a:stretch>
                        </pic:blipFill>
                        <pic:spPr>
                          <a:xfrm>
                            <a:off x="0" y="0"/>
                            <a:ext cx="666115" cy="666115"/>
                          </a:xfrm>
                          <a:prstGeom prst="rect">
                            <a:avLst/>
                          </a:prstGeom>
                          <a:noFill/>
                          <a:ln>
                            <a:noFill/>
                          </a:ln>
                        </pic:spPr>
                      </pic:pic>
                    </a:graphicData>
                  </a:graphic>
                </wp:inline>
              </w:drawing>
            </w:r>
          </w:p>
        </w:tc>
        <w:tc>
          <w:tcPr>
            <w:tcW w:w="2451" w:type="dxa"/>
            <w:noWrap w:val="0"/>
            <w:vAlign w:val="center"/>
          </w:tcPr>
          <w:p w14:paraId="6BD6C5A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468CA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7A4C6A5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DED8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ascii="Times New Roman" w:hAnsi="Times New Roman" w:eastAsia="微软雅黑" w:cs="Times New Roman"/>
          <w:color w:val="000000"/>
          <w:kern w:val="0"/>
          <w:sz w:val="18"/>
          <w:szCs w:val="18"/>
          <w:lang w:val="en-US" w:eastAsia="zh-CN" w:bidi="ar"/>
        </w:rPr>
      </w:pPr>
    </w:p>
    <w:sectPr>
      <w:headerReference r:id="rId3" w:type="default"/>
      <w:footerReference r:id="rId4" w:type="default"/>
      <w:pgSz w:w="11906" w:h="16838"/>
      <w:pgMar w:top="1327" w:right="1293" w:bottom="1157" w:left="1293" w:header="851" w:footer="907" w:gutter="0"/>
      <w:paperSrc/>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4A932">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30A76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4D30A76E">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9334500</wp:posOffset>
          </wp:positionV>
          <wp:extent cx="7559675" cy="1327150"/>
          <wp:effectExtent l="0" t="0" r="3175" b="635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9675" cy="132715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327C6">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559675" cy="1357630"/>
          <wp:effectExtent l="0" t="0" r="3175" b="1397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7559675"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10"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3">
    <w:nsid w:val="D0856594"/>
    <w:multiLevelType w:val="singleLevel"/>
    <w:tmpl w:val="D0856594"/>
    <w:lvl w:ilvl="0" w:tentative="0">
      <w:start w:val="1"/>
      <w:numFmt w:val="lowerLetter"/>
      <w:lvlText w:val="%1."/>
      <w:lvlJc w:val="left"/>
      <w:pPr>
        <w:ind w:left="425" w:hanging="425"/>
      </w:pPr>
      <w:rPr>
        <w:rFonts w:hint="default"/>
      </w:rPr>
    </w:lvl>
  </w:abstractNum>
  <w:abstractNum w:abstractNumId="4">
    <w:nsid w:val="4EB15633"/>
    <w:multiLevelType w:val="singleLevel"/>
    <w:tmpl w:val="4EB15633"/>
    <w:lvl w:ilvl="0" w:tentative="0">
      <w:start w:val="1"/>
      <w:numFmt w:val="decimal"/>
      <w:suff w:val="space"/>
      <w:lvlText w:val="%1."/>
      <w:lvlJc w:val="left"/>
    </w:lvl>
  </w:abstractNum>
  <w:abstractNum w:abstractNumId="5">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04d415ea-8018-4bb2-8bce-b15f526c5c03"/>
  </w:docVars>
  <w:rsids>
    <w:rsidRoot w:val="00000000"/>
    <w:rsid w:val="0A1A618F"/>
    <w:rsid w:val="10147564"/>
    <w:rsid w:val="13AC0DFB"/>
    <w:rsid w:val="14CB766A"/>
    <w:rsid w:val="16CC7CA9"/>
    <w:rsid w:val="19976823"/>
    <w:rsid w:val="1BAF4D2D"/>
    <w:rsid w:val="1D2737FF"/>
    <w:rsid w:val="1EFC5E1C"/>
    <w:rsid w:val="233C5628"/>
    <w:rsid w:val="239D478B"/>
    <w:rsid w:val="247E7E37"/>
    <w:rsid w:val="2E89451F"/>
    <w:rsid w:val="2FFA371C"/>
    <w:rsid w:val="306744D1"/>
    <w:rsid w:val="30926BF3"/>
    <w:rsid w:val="30B25E12"/>
    <w:rsid w:val="340B5D21"/>
    <w:rsid w:val="344F3FA7"/>
    <w:rsid w:val="399C4A64"/>
    <w:rsid w:val="3B8C7633"/>
    <w:rsid w:val="3D2C6E4B"/>
    <w:rsid w:val="3F8F6DDC"/>
    <w:rsid w:val="40313631"/>
    <w:rsid w:val="41412BA9"/>
    <w:rsid w:val="42F655C2"/>
    <w:rsid w:val="489652E5"/>
    <w:rsid w:val="4C886703"/>
    <w:rsid w:val="50C11611"/>
    <w:rsid w:val="52A5300F"/>
    <w:rsid w:val="57551D38"/>
    <w:rsid w:val="60546E99"/>
    <w:rsid w:val="60A74B67"/>
    <w:rsid w:val="60F90299"/>
    <w:rsid w:val="63F70CE7"/>
    <w:rsid w:val="71A4002C"/>
    <w:rsid w:val="75BE509E"/>
    <w:rsid w:val="7AF516A8"/>
    <w:rsid w:val="7AF72FB9"/>
    <w:rsid w:val="7CB820CA"/>
    <w:rsid w:val="7D0859F1"/>
    <w:rsid w:val="7D1909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1741</Words>
  <Characters>2470</Characters>
  <Lines>0</Lines>
  <Paragraphs>0</Paragraphs>
  <TotalTime>0</TotalTime>
  <ScaleCrop>false</ScaleCrop>
  <LinksUpToDate>false</LinksUpToDate>
  <CharactersWithSpaces>2566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dcterms:modified xsi:type="dcterms:W3CDTF">2026-06-11T06:44:15Z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82412F9B15974883B2E95E4A139E7CEA_13</vt:lpwstr>
  </property>
  <property fmtid="{D5CDD505-2E9C-101B-9397-08002B2CF9AE}" pid="4" name="KSOTemplateDocerSaveRecord">
    <vt:lpwstr>eyJoZGlkIjoiNGE4MmJmZWM4N2NmNzM0ODc5NTJkMGZhNzZhNmI2ZDgiLCJ1c2VySWQiOiI2OTYyMTYzMjYifQ==</vt:lpwstr>
  </property>
</Properties>
</file>