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A60B2">
      <w:pPr>
        <w:jc w:val="center"/>
        <w:rPr>
          <w:rFonts w:hint="eastAsia" w:ascii="微软雅黑" w:hAnsi="微软雅黑" w:eastAsia="微软雅黑" w:cs="微软雅黑"/>
          <w:b/>
          <w:bCs/>
          <w:sz w:val="32"/>
          <w:szCs w:val="32"/>
        </w:rPr>
      </w:pPr>
      <w:bookmarkStart w:id="0" w:name="_GoBack"/>
      <w:bookmarkEnd w:id="0"/>
      <w:r>
        <w:rPr>
          <w:rFonts w:hint="default" w:ascii="Times New Roman" w:hAnsi="Times New Roman" w:eastAsia="微软雅黑" w:cs="Times New Roman"/>
          <w:b/>
          <w:bCs/>
          <w:sz w:val="32"/>
          <w:szCs w:val="32"/>
        </w:rPr>
        <w:t>易肽</w:t>
      </w:r>
      <w:r>
        <w:rPr>
          <w:rFonts w:hint="default" w:ascii="Times New Roman" w:hAnsi="Times New Roman" w:eastAsia="微软雅黑" w:cs="Times New Roman"/>
          <w:b/>
          <w:bCs/>
          <w:sz w:val="32"/>
          <w:szCs w:val="32"/>
          <w:lang w:val="en-US" w:eastAsia="zh-CN"/>
        </w:rPr>
        <w:t>Micro</w:t>
      </w:r>
      <w:r>
        <w:rPr>
          <w:rFonts w:hint="default" w:ascii="Times New Roman" w:hAnsi="Times New Roman" w:eastAsia="微软雅黑" w:cs="Times New Roman"/>
          <w:b/>
          <w:bCs/>
          <w:sz w:val="32"/>
          <w:szCs w:val="32"/>
        </w:rPr>
        <w:t>前处理制备试剂盒</w:t>
      </w:r>
    </w:p>
    <w:p w14:paraId="7BD3B718">
      <w:pPr>
        <w:jc w:val="cente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货号：OSFP000</w:t>
      </w:r>
      <w:r>
        <w:rPr>
          <w:rFonts w:hint="eastAsia" w:ascii="Times New Roman" w:hAnsi="Times New Roman" w:eastAsia="微软雅黑" w:cs="Times New Roman"/>
          <w:lang w:val="en-US" w:eastAsia="zh-CN"/>
        </w:rPr>
        <w:t xml:space="preserve">1  </w:t>
      </w:r>
      <w:r>
        <w:rPr>
          <w:rFonts w:hint="default" w:ascii="Times New Roman" w:hAnsi="Times New Roman" w:eastAsia="微软雅黑" w:cs="Times New Roman"/>
          <w:lang w:val="en-US" w:eastAsia="zh-CN"/>
        </w:rPr>
        <w:t>规格</w:t>
      </w:r>
      <w:r>
        <w:rPr>
          <w:rFonts w:hint="eastAsia" w:ascii="Times New Roman" w:hAnsi="Times New Roman" w:eastAsia="微软雅黑" w:cs="Times New Roman"/>
          <w:lang w:val="en-US" w:eastAsia="zh-CN"/>
        </w:rPr>
        <w:t>：</w:t>
      </w:r>
      <w:r>
        <w:rPr>
          <w:rFonts w:hint="default" w:ascii="Times New Roman" w:hAnsi="Times New Roman" w:eastAsia="微软雅黑" w:cs="Times New Roman"/>
          <w:lang w:val="en-US" w:eastAsia="zh-CN"/>
        </w:rPr>
        <w:t>8x</w:t>
      </w:r>
      <w:r>
        <w:rPr>
          <w:rFonts w:hint="eastAsia" w:ascii="Times New Roman" w:hAnsi="Times New Roman" w:eastAsia="微软雅黑" w:cs="Times New Roman"/>
          <w:lang w:val="en-US" w:eastAsia="zh-CN"/>
        </w:rPr>
        <w:t xml:space="preserve">  版本号：</w:t>
      </w:r>
      <w:r>
        <w:rPr>
          <w:rFonts w:ascii="宋体" w:hAnsi="宋体" w:eastAsia="宋体" w:cs="宋体"/>
          <w:sz w:val="24"/>
          <w:szCs w:val="24"/>
        </w:rPr>
        <w:t>V202606</w:t>
      </w:r>
      <w:r>
        <w:rPr>
          <w:rFonts w:hint="eastAsia" w:ascii="宋体" w:hAnsi="宋体" w:eastAsia="宋体" w:cs="宋体"/>
          <w:sz w:val="24"/>
          <w:szCs w:val="24"/>
          <w:lang w:val="en-US" w:eastAsia="zh-CN"/>
        </w:rPr>
        <w:t>08</w:t>
      </w:r>
    </w:p>
    <w:p w14:paraId="3AB6FF79">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Spec="center" w:tblpY="579"/>
        <w:tblOverlap w:val="never"/>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26"/>
        <w:gridCol w:w="1520"/>
        <w:gridCol w:w="4015"/>
        <w:gridCol w:w="1780"/>
      </w:tblGrid>
      <w:tr w14:paraId="50A99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16" w:type="pct"/>
            <w:tcBorders>
              <w:top w:val="single" w:color="auto" w:sz="6" w:space="0"/>
              <w:bottom w:val="single" w:color="auto" w:sz="6" w:space="0"/>
            </w:tcBorders>
            <w:noWrap w:val="0"/>
            <w:vAlign w:val="center"/>
          </w:tcPr>
          <w:p w14:paraId="3367B7AA">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69" w:type="pct"/>
            <w:tcBorders>
              <w:top w:val="single" w:color="auto" w:sz="6" w:space="0"/>
              <w:bottom w:val="single" w:color="auto" w:sz="6" w:space="0"/>
            </w:tcBorders>
            <w:noWrap w:val="0"/>
            <w:vAlign w:val="center"/>
          </w:tcPr>
          <w:p w14:paraId="0334D62D">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296" w:type="pct"/>
            <w:tcBorders>
              <w:top w:val="single" w:color="auto" w:sz="6" w:space="0"/>
              <w:bottom w:val="single" w:color="auto" w:sz="6" w:space="0"/>
            </w:tcBorders>
            <w:noWrap w:val="0"/>
            <w:vAlign w:val="center"/>
          </w:tcPr>
          <w:p w14:paraId="28EC5D7C">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1018" w:type="pct"/>
            <w:tcBorders>
              <w:top w:val="single" w:color="auto" w:sz="6" w:space="0"/>
              <w:bottom w:val="single" w:color="auto" w:sz="6" w:space="0"/>
            </w:tcBorders>
            <w:noWrap w:val="0"/>
            <w:vAlign w:val="center"/>
          </w:tcPr>
          <w:p w14:paraId="18D597CA">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1E2C5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16" w:type="pct"/>
            <w:tcBorders>
              <w:top w:val="nil"/>
              <w:bottom w:val="nil"/>
            </w:tcBorders>
            <w:noWrap w:val="0"/>
            <w:vAlign w:val="center"/>
          </w:tcPr>
          <w:p w14:paraId="424D90D9">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b w:val="0"/>
                <w:bCs w:val="0"/>
                <w:color w:val="FDF731"/>
                <w:sz w:val="18"/>
                <w:szCs w:val="18"/>
                <w:vertAlign w:val="baseline"/>
                <w:lang w:val="en-US" w:eastAsia="zh-CN"/>
              </w:rPr>
              <w:t>●</w:t>
            </w:r>
            <w:r>
              <w:rPr>
                <w:rFonts w:hint="default" w:ascii="Times New Roman" w:hAnsi="Times New Roman" w:eastAsia="微软雅黑" w:cs="Times New Roman"/>
                <w:color w:val="FDF731"/>
                <w:sz w:val="18"/>
                <w:szCs w:val="18"/>
              </w:rPr>
              <w:t xml:space="preserve"> </w:t>
            </w:r>
          </w:p>
        </w:tc>
        <w:tc>
          <w:tcPr>
            <w:tcW w:w="869" w:type="pct"/>
            <w:tcBorders>
              <w:top w:val="nil"/>
              <w:bottom w:val="nil"/>
            </w:tcBorders>
            <w:noWrap w:val="0"/>
            <w:vAlign w:val="center"/>
          </w:tcPr>
          <w:p w14:paraId="6AC947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default" w:ascii="Times New Roman" w:hAnsi="Times New Roman" w:eastAsia="微软雅黑" w:cs="Times New Roman"/>
                <w:b w:val="0"/>
                <w:bCs w:val="0"/>
                <w:sz w:val="18"/>
                <w:szCs w:val="18"/>
                <w:vertAlign w:val="baseline"/>
                <w:lang w:val="en-US" w:eastAsia="zh-CN"/>
              </w:rPr>
              <w:t>1.8ml*</w:t>
            </w:r>
            <w:r>
              <w:rPr>
                <w:rFonts w:hint="eastAsia" w:ascii="Times New Roman" w:hAnsi="Times New Roman" w:eastAsia="微软雅黑" w:cs="Times New Roman"/>
                <w:b w:val="0"/>
                <w:bCs w:val="0"/>
                <w:sz w:val="18"/>
                <w:szCs w:val="18"/>
                <w:vertAlign w:val="baseline"/>
                <w:lang w:val="en-US" w:eastAsia="zh-CN"/>
              </w:rPr>
              <w:t>1</w:t>
            </w:r>
          </w:p>
        </w:tc>
        <w:tc>
          <w:tcPr>
            <w:tcW w:w="2296" w:type="pct"/>
            <w:tcBorders>
              <w:top w:val="nil"/>
              <w:bottom w:val="nil"/>
            </w:tcBorders>
            <w:noWrap w:val="0"/>
            <w:vAlign w:val="center"/>
          </w:tcPr>
          <w:p w14:paraId="00C4F8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highlight w:val="none"/>
                <w:vertAlign w:val="baseline"/>
                <w:lang w:val="en-US" w:eastAsia="zh-CN"/>
              </w:rPr>
              <w:t>裂解液，用于蛋白裂解</w:t>
            </w:r>
          </w:p>
        </w:tc>
        <w:tc>
          <w:tcPr>
            <w:tcW w:w="1018" w:type="pct"/>
            <w:tcBorders>
              <w:top w:val="nil"/>
              <w:bottom w:val="nil"/>
            </w:tcBorders>
            <w:noWrap w:val="0"/>
            <w:vAlign w:val="center"/>
          </w:tcPr>
          <w:p w14:paraId="4AAA82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57944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16" w:type="pct"/>
            <w:tcBorders>
              <w:top w:val="nil"/>
              <w:bottom w:val="nil"/>
            </w:tcBorders>
            <w:noWrap w:val="0"/>
            <w:vAlign w:val="center"/>
          </w:tcPr>
          <w:p w14:paraId="39409908">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69" w:type="pct"/>
            <w:tcBorders>
              <w:top w:val="nil"/>
              <w:bottom w:val="nil"/>
            </w:tcBorders>
            <w:noWrap w:val="0"/>
            <w:vAlign w:val="center"/>
          </w:tcPr>
          <w:p w14:paraId="5DD19B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180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1</w:t>
            </w:r>
          </w:p>
        </w:tc>
        <w:tc>
          <w:tcPr>
            <w:tcW w:w="2296" w:type="pct"/>
            <w:tcBorders>
              <w:top w:val="nil"/>
              <w:bottom w:val="nil"/>
            </w:tcBorders>
            <w:noWrap w:val="0"/>
            <w:vAlign w:val="center"/>
          </w:tcPr>
          <w:p w14:paraId="3DD551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default" w:ascii="Times New Roman" w:hAnsi="Times New Roman" w:eastAsia="微软雅黑" w:cs="Times New Roman"/>
                <w:b w:val="0"/>
                <w:bCs w:val="0"/>
                <w:sz w:val="18"/>
                <w:szCs w:val="18"/>
                <w:vertAlign w:val="baseline"/>
                <w:lang w:val="en-US" w:eastAsia="zh-CN"/>
              </w:rPr>
              <w:t>还原烷基化，用于</w:t>
            </w:r>
            <w:r>
              <w:rPr>
                <w:rFonts w:hint="eastAsia" w:ascii="Times New Roman" w:hAnsi="Times New Roman" w:eastAsia="微软雅黑" w:cs="Times New Roman"/>
                <w:b w:val="0"/>
                <w:bCs w:val="0"/>
                <w:sz w:val="18"/>
                <w:szCs w:val="18"/>
                <w:vertAlign w:val="baseline"/>
                <w:lang w:val="en-US" w:eastAsia="zh-CN"/>
              </w:rPr>
              <w:t>蛋白质的还原烷基化</w:t>
            </w:r>
          </w:p>
        </w:tc>
        <w:tc>
          <w:tcPr>
            <w:tcW w:w="1018" w:type="pct"/>
            <w:tcBorders>
              <w:top w:val="nil"/>
              <w:bottom w:val="nil"/>
            </w:tcBorders>
            <w:noWrap w:val="0"/>
            <w:vAlign w:val="center"/>
          </w:tcPr>
          <w:p w14:paraId="53C8CB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7022B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16" w:type="pct"/>
            <w:tcBorders>
              <w:top w:val="nil"/>
              <w:bottom w:val="nil"/>
            </w:tcBorders>
            <w:noWrap w:val="0"/>
            <w:vAlign w:val="center"/>
          </w:tcPr>
          <w:p w14:paraId="334623F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B</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FF0000"/>
                <w:sz w:val="18"/>
                <w:szCs w:val="18"/>
                <w:vertAlign w:val="baseline"/>
                <w:lang w:val="en-US" w:eastAsia="zh-CN"/>
              </w:rPr>
              <w:t>●</w:t>
            </w:r>
          </w:p>
        </w:tc>
        <w:tc>
          <w:tcPr>
            <w:tcW w:w="869" w:type="pct"/>
            <w:tcBorders>
              <w:top w:val="nil"/>
              <w:bottom w:val="nil"/>
            </w:tcBorders>
            <w:noWrap w:val="0"/>
            <w:vAlign w:val="center"/>
          </w:tcPr>
          <w:p w14:paraId="65BD77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150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1</w:t>
            </w:r>
          </w:p>
        </w:tc>
        <w:tc>
          <w:tcPr>
            <w:tcW w:w="2296" w:type="pct"/>
            <w:tcBorders>
              <w:top w:val="nil"/>
              <w:bottom w:val="nil"/>
            </w:tcBorders>
            <w:noWrap w:val="0"/>
            <w:vAlign w:val="center"/>
          </w:tcPr>
          <w:p w14:paraId="6115BC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1018" w:type="pct"/>
            <w:tcBorders>
              <w:top w:val="nil"/>
              <w:bottom w:val="nil"/>
            </w:tcBorders>
            <w:noWrap w:val="0"/>
            <w:vAlign w:val="center"/>
          </w:tcPr>
          <w:p w14:paraId="16DF24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7A90E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jc w:val="center"/>
        </w:trPr>
        <w:tc>
          <w:tcPr>
            <w:tcW w:w="816" w:type="pct"/>
            <w:tcBorders>
              <w:top w:val="nil"/>
              <w:bottom w:val="nil"/>
            </w:tcBorders>
            <w:noWrap w:val="0"/>
            <w:vAlign w:val="center"/>
          </w:tcPr>
          <w:p w14:paraId="7BBA593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869" w:type="pct"/>
            <w:tcBorders>
              <w:top w:val="nil"/>
              <w:bottom w:val="nil"/>
            </w:tcBorders>
            <w:noWrap w:val="0"/>
            <w:vAlign w:val="center"/>
          </w:tcPr>
          <w:p w14:paraId="0B29C0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40</w:t>
            </w:r>
            <w:r>
              <w:rPr>
                <w:rFonts w:hint="default" w:ascii="Times New Roman" w:hAnsi="Times New Roman" w:eastAsia="微软雅黑" w:cs="Times New Roman"/>
                <w:b w:val="0"/>
                <w:bCs w:val="0"/>
                <w:sz w:val="18"/>
                <w:szCs w:val="18"/>
                <w:vertAlign w:val="baseline"/>
                <w:lang w:val="en-US" w:eastAsia="zh-CN"/>
              </w:rPr>
              <w:t>μl*1</w:t>
            </w:r>
          </w:p>
        </w:tc>
        <w:tc>
          <w:tcPr>
            <w:tcW w:w="2296" w:type="pct"/>
            <w:tcBorders>
              <w:top w:val="nil"/>
              <w:bottom w:val="nil"/>
            </w:tcBorders>
            <w:noWrap w:val="0"/>
            <w:vAlign w:val="center"/>
          </w:tcPr>
          <w:p w14:paraId="327C0676">
            <w:pPr>
              <w:keepNext w:val="0"/>
              <w:keepLines w:val="0"/>
              <w:widowControl/>
              <w:suppressLineNumbers w:val="0"/>
              <w:jc w:val="center"/>
              <w:rPr>
                <w:rFonts w:hint="default" w:ascii="Times New Roman" w:hAnsi="Times New Roman" w:eastAsia="微软雅黑" w:cs="Times New Roman"/>
                <w:sz w:val="18"/>
                <w:szCs w:val="18"/>
              </w:rPr>
            </w:pPr>
            <w:r>
              <w:rPr>
                <w:rFonts w:ascii="微软雅黑" w:hAnsi="微软雅黑" w:eastAsia="微软雅黑" w:cs="微软雅黑"/>
                <w:color w:val="000000"/>
                <w:kern w:val="0"/>
                <w:sz w:val="18"/>
                <w:szCs w:val="18"/>
                <w:lang w:val="en-US" w:eastAsia="zh-CN" w:bidi="ar"/>
              </w:rPr>
              <w:t>终止试剂，终止酶解反应</w:t>
            </w:r>
          </w:p>
        </w:tc>
        <w:tc>
          <w:tcPr>
            <w:tcW w:w="1018" w:type="pct"/>
            <w:tcBorders>
              <w:top w:val="nil"/>
              <w:bottom w:val="nil"/>
            </w:tcBorders>
            <w:noWrap w:val="0"/>
            <w:vAlign w:val="center"/>
          </w:tcPr>
          <w:p w14:paraId="45543D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11CB8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16" w:type="pct"/>
            <w:tcBorders>
              <w:top w:val="nil"/>
              <w:bottom w:val="nil"/>
            </w:tcBorders>
            <w:noWrap w:val="0"/>
            <w:vAlign w:val="center"/>
          </w:tcPr>
          <w:p w14:paraId="30A4561C">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Cartridge</w:t>
            </w:r>
          </w:p>
        </w:tc>
        <w:tc>
          <w:tcPr>
            <w:tcW w:w="869" w:type="pct"/>
            <w:tcBorders>
              <w:top w:val="nil"/>
              <w:bottom w:val="nil"/>
            </w:tcBorders>
            <w:noWrap w:val="0"/>
            <w:vAlign w:val="center"/>
          </w:tcPr>
          <w:p w14:paraId="254722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20μg载量*</w:t>
            </w:r>
            <w:r>
              <w:rPr>
                <w:rFonts w:hint="eastAsia" w:ascii="Times New Roman" w:hAnsi="Times New Roman" w:eastAsia="微软雅黑" w:cs="Times New Roman"/>
                <w:b w:val="0"/>
                <w:bCs w:val="0"/>
                <w:sz w:val="18"/>
                <w:szCs w:val="18"/>
                <w:vertAlign w:val="baseline"/>
                <w:lang w:val="en-US" w:eastAsia="zh-CN"/>
              </w:rPr>
              <w:t>8</w:t>
            </w:r>
          </w:p>
        </w:tc>
        <w:tc>
          <w:tcPr>
            <w:tcW w:w="2296" w:type="pct"/>
            <w:tcBorders>
              <w:top w:val="nil"/>
              <w:bottom w:val="nil"/>
            </w:tcBorders>
            <w:noWrap w:val="0"/>
            <w:vAlign w:val="center"/>
          </w:tcPr>
          <w:p w14:paraId="1173FA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肽段脱盐</w:t>
            </w:r>
          </w:p>
        </w:tc>
        <w:tc>
          <w:tcPr>
            <w:tcW w:w="1018" w:type="pct"/>
            <w:tcBorders>
              <w:top w:val="nil"/>
              <w:bottom w:val="nil"/>
            </w:tcBorders>
            <w:noWrap w:val="0"/>
            <w:vAlign w:val="center"/>
          </w:tcPr>
          <w:p w14:paraId="3E1882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9C36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16" w:type="pct"/>
            <w:tcBorders>
              <w:top w:val="nil"/>
              <w:bottom w:val="single" w:color="auto" w:sz="4" w:space="0"/>
            </w:tcBorders>
            <w:noWrap w:val="0"/>
            <w:vAlign w:val="center"/>
          </w:tcPr>
          <w:p w14:paraId="3622C0E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Adaptor</w:t>
            </w:r>
          </w:p>
        </w:tc>
        <w:tc>
          <w:tcPr>
            <w:tcW w:w="869" w:type="pct"/>
            <w:tcBorders>
              <w:top w:val="nil"/>
              <w:bottom w:val="single" w:color="auto" w:sz="4" w:space="0"/>
            </w:tcBorders>
            <w:noWrap w:val="0"/>
            <w:vAlign w:val="center"/>
          </w:tcPr>
          <w:p w14:paraId="0244E4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8</w:t>
            </w:r>
            <w:r>
              <w:rPr>
                <w:rFonts w:hint="default" w:ascii="Times New Roman" w:hAnsi="Times New Roman" w:eastAsia="微软雅黑" w:cs="Times New Roman"/>
                <w:b w:val="0"/>
                <w:bCs w:val="0"/>
                <w:sz w:val="18"/>
                <w:szCs w:val="18"/>
                <w:vertAlign w:val="baseline"/>
                <w:lang w:val="en-US" w:eastAsia="zh-CN"/>
              </w:rPr>
              <w:t>x</w:t>
            </w:r>
          </w:p>
        </w:tc>
        <w:tc>
          <w:tcPr>
            <w:tcW w:w="2296" w:type="pct"/>
            <w:tcBorders>
              <w:top w:val="nil"/>
              <w:bottom w:val="single" w:color="auto" w:sz="4" w:space="0"/>
            </w:tcBorders>
            <w:noWrap w:val="0"/>
            <w:vAlign w:val="center"/>
          </w:tcPr>
          <w:p w14:paraId="1A5F82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除盐适配器（仅在首次购买试剂盒时附赠一套）</w:t>
            </w:r>
          </w:p>
        </w:tc>
        <w:tc>
          <w:tcPr>
            <w:tcW w:w="1018" w:type="pct"/>
            <w:tcBorders>
              <w:top w:val="nil"/>
              <w:bottom w:val="single" w:color="auto" w:sz="4" w:space="0"/>
            </w:tcBorders>
            <w:noWrap w:val="0"/>
            <w:vAlign w:val="center"/>
          </w:tcPr>
          <w:p w14:paraId="09BC12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bl>
    <w:p w14:paraId="0893867D">
      <w:pPr>
        <w:numPr>
          <w:ilvl w:val="0"/>
          <w:numId w:val="0"/>
        </w:numPr>
        <w:spacing w:line="240" w:lineRule="auto"/>
        <w:ind w:leftChars="0"/>
        <w:rPr>
          <w:rFonts w:hint="eastAsia" w:ascii="微软雅黑" w:hAnsi="微软雅黑" w:eastAsia="微软雅黑" w:cs="微软雅黑"/>
          <w:b/>
          <w:bCs/>
          <w:sz w:val="21"/>
          <w:szCs w:val="21"/>
          <w:lang w:val="en-US" w:eastAsia="zh-CN"/>
        </w:rPr>
      </w:pPr>
    </w:p>
    <w:p w14:paraId="4E8FF0CE">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224CA9CD">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样品制备是蛋白质组学实验最重要的步骤之一，合适的前处理过程是实验成功的关键。</w:t>
      </w:r>
    </w:p>
    <w:p w14:paraId="6B399CBA">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易肽</w:t>
      </w:r>
      <w:r>
        <w:rPr>
          <w:rFonts w:hint="default" w:ascii="Times New Roman" w:hAnsi="Times New Roman" w:eastAsia="微软雅黑" w:cs="Times New Roman"/>
          <w:lang w:val="en-US" w:eastAsia="zh-CN"/>
        </w:rPr>
        <w:t>Micro</w:t>
      </w:r>
      <w:r>
        <w:rPr>
          <w:rFonts w:hint="eastAsia" w:ascii="微软雅黑" w:hAnsi="微软雅黑" w:eastAsia="微软雅黑" w:cs="微软雅黑"/>
          <w:lang w:val="en-US" w:eastAsia="zh-CN"/>
        </w:rPr>
        <w:t>前处理制备试剂盒旨在以较少的样品制备步骤和较短的操作时间以获得最佳的实验结果。适用于组织、细胞、体液、菌体等各种样本类型，尤其对于蛋白质组学大队列样本的制备过程充分体现出其高通量、高稳健性的优势。该试剂盒提供蛋白制备包括蛋白变性、还原烷基化、蛋白酶解以及肽段脱盐过程的相关试剂。基于溶液内快速酶解的前处理方法，解决了传统方法样本用量多、试剂成本高、损失大、耗时长的弊端，操作方便且平行性好，以实现微量蛋白的快速制备及蛋白质组深度覆盖检测。</w:t>
      </w:r>
    </w:p>
    <w:p w14:paraId="4BF81669">
      <w:pPr>
        <w:jc w:val="center"/>
        <w:rPr>
          <w:rFonts w:hint="eastAsia" w:ascii="微软雅黑" w:hAnsi="微软雅黑" w:eastAsia="微软雅黑" w:cs="微软雅黑"/>
          <w:lang w:val="en-US" w:eastAsia="zh-CN"/>
        </w:rPr>
      </w:pPr>
      <w:r>
        <w:drawing>
          <wp:inline distT="0" distB="0" distL="114300" distR="114300">
            <wp:extent cx="5412740" cy="1772285"/>
            <wp:effectExtent l="0" t="0" r="0" b="18415"/>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6"/>
                    <a:stretch>
                      <a:fillRect/>
                    </a:stretch>
                  </pic:blipFill>
                  <pic:spPr>
                    <a:xfrm>
                      <a:off x="0" y="0"/>
                      <a:ext cx="5412740" cy="1772285"/>
                    </a:xfrm>
                    <a:prstGeom prst="rect">
                      <a:avLst/>
                    </a:prstGeom>
                    <a:noFill/>
                    <a:ln>
                      <a:noFill/>
                    </a:ln>
                  </pic:spPr>
                </pic:pic>
              </a:graphicData>
            </a:graphic>
          </wp:inline>
        </w:drawing>
      </w:r>
    </w:p>
    <w:p w14:paraId="24ECB218">
      <w:pPr>
        <w:jc w:val="left"/>
        <w:rPr>
          <w:rFonts w:hint="eastAsia" w:ascii="Times New Roman" w:hAnsi="Times New Roman" w:eastAsia="微软雅黑" w:cs="Times New Roman"/>
          <w:sz w:val="18"/>
          <w:szCs w:val="18"/>
          <w:lang w:val="en-US" w:eastAsia="zh-CN"/>
        </w:rPr>
      </w:pPr>
    </w:p>
    <w:p w14:paraId="5201C48C">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510A7960">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1"/>
        <w:gridCol w:w="1347"/>
        <w:gridCol w:w="5693"/>
      </w:tblGrid>
      <w:tr w14:paraId="507AF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6" w:space="0"/>
              <w:bottom w:val="single" w:color="auto" w:sz="4" w:space="0"/>
            </w:tcBorders>
            <w:noWrap w:val="0"/>
            <w:vAlign w:val="center"/>
          </w:tcPr>
          <w:p w14:paraId="1DB64572">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70" w:type="pct"/>
            <w:tcBorders>
              <w:top w:val="single" w:color="auto" w:sz="6" w:space="0"/>
              <w:bottom w:val="single" w:color="auto" w:sz="4" w:space="0"/>
            </w:tcBorders>
            <w:noWrap w:val="0"/>
            <w:vAlign w:val="center"/>
          </w:tcPr>
          <w:p w14:paraId="6B304150">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7E1F9213">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72EE0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4" w:space="0"/>
              <w:bottom w:val="nil"/>
            </w:tcBorders>
            <w:noWrap w:val="0"/>
            <w:vAlign w:val="center"/>
          </w:tcPr>
          <w:p w14:paraId="6892D0B1">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70" w:type="pct"/>
            <w:tcBorders>
              <w:top w:val="single" w:color="auto" w:sz="4" w:space="0"/>
              <w:bottom w:val="nil"/>
            </w:tcBorders>
            <w:noWrap w:val="0"/>
            <w:vAlign w:val="center"/>
          </w:tcPr>
          <w:p w14:paraId="40AF695D">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566A3D9B">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02237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0A0B96CC">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770" w:type="pct"/>
            <w:tcBorders>
              <w:top w:val="nil"/>
              <w:bottom w:val="nil"/>
            </w:tcBorders>
            <w:noWrap w:val="0"/>
            <w:vAlign w:val="center"/>
          </w:tcPr>
          <w:p w14:paraId="6D723083">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9600" cy="508000"/>
                  <wp:effectExtent l="0" t="0" r="0" b="635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8"/>
                          <a:stretch>
                            <a:fillRect/>
                          </a:stretch>
                        </pic:blipFill>
                        <pic:spPr>
                          <a:xfrm>
                            <a:off x="0" y="0"/>
                            <a:ext cx="609600" cy="508000"/>
                          </a:xfrm>
                          <a:prstGeom prst="rect">
                            <a:avLst/>
                          </a:prstGeom>
                          <a:noFill/>
                          <a:ln>
                            <a:noFill/>
                          </a:ln>
                        </pic:spPr>
                      </pic:pic>
                    </a:graphicData>
                  </a:graphic>
                </wp:inline>
              </w:drawing>
            </w:r>
          </w:p>
        </w:tc>
        <w:tc>
          <w:tcPr>
            <w:tcW w:w="3256" w:type="pct"/>
            <w:tcBorders>
              <w:top w:val="nil"/>
              <w:bottom w:val="nil"/>
            </w:tcBorders>
            <w:noWrap w:val="0"/>
            <w:vAlign w:val="center"/>
          </w:tcPr>
          <w:p w14:paraId="06092C1B">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04341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02B51EDA">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70" w:type="pct"/>
            <w:tcBorders>
              <w:top w:val="nil"/>
              <w:bottom w:val="nil"/>
            </w:tcBorders>
            <w:noWrap w:val="0"/>
            <w:vAlign w:val="center"/>
          </w:tcPr>
          <w:p w14:paraId="60BCB76F">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441325" cy="784860"/>
                  <wp:effectExtent l="0" t="0" r="15875" b="1524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9"/>
                          <a:stretch>
                            <a:fillRect/>
                          </a:stretch>
                        </pic:blipFill>
                        <pic:spPr>
                          <a:xfrm>
                            <a:off x="0" y="0"/>
                            <a:ext cx="441325" cy="784860"/>
                          </a:xfrm>
                          <a:prstGeom prst="rect">
                            <a:avLst/>
                          </a:prstGeom>
                          <a:noFill/>
                          <a:ln>
                            <a:noFill/>
                          </a:ln>
                        </pic:spPr>
                      </pic:pic>
                    </a:graphicData>
                  </a:graphic>
                </wp:inline>
              </w:drawing>
            </w:r>
          </w:p>
        </w:tc>
        <w:tc>
          <w:tcPr>
            <w:tcW w:w="3256" w:type="pct"/>
            <w:tcBorders>
              <w:top w:val="nil"/>
              <w:bottom w:val="nil"/>
            </w:tcBorders>
            <w:noWrap w:val="0"/>
            <w:vAlign w:val="center"/>
          </w:tcPr>
          <w:p w14:paraId="381A6E08">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349C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7985BB0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770" w:type="pct"/>
            <w:tcBorders>
              <w:top w:val="nil"/>
              <w:bottom w:val="nil"/>
            </w:tcBorders>
            <w:noWrap w:val="0"/>
            <w:vAlign w:val="center"/>
          </w:tcPr>
          <w:p w14:paraId="5093A8B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10"/>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70451B5E">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70797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73" w:type="pct"/>
            <w:tcBorders>
              <w:top w:val="nil"/>
              <w:bottom w:val="single" w:color="auto" w:sz="4" w:space="0"/>
            </w:tcBorders>
            <w:noWrap w:val="0"/>
            <w:vAlign w:val="center"/>
          </w:tcPr>
          <w:p w14:paraId="1CA073CF">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70" w:type="pct"/>
            <w:tcBorders>
              <w:top w:val="nil"/>
              <w:bottom w:val="single" w:color="auto" w:sz="4" w:space="0"/>
            </w:tcBorders>
            <w:noWrap w:val="0"/>
            <w:vAlign w:val="center"/>
          </w:tcPr>
          <w:p w14:paraId="5BDD044E">
            <w:pPr>
              <w:spacing w:line="240" w:lineRule="auto"/>
              <w:jc w:val="left"/>
              <w:rPr>
                <w:rFonts w:ascii="Times New Roman" w:hAnsi="Times New Roman" w:eastAsia="微软雅黑" w:cs="Times New Roman"/>
                <w:sz w:val="18"/>
                <w:szCs w:val="18"/>
              </w:rPr>
            </w:pPr>
          </w:p>
        </w:tc>
        <w:tc>
          <w:tcPr>
            <w:tcW w:w="3256" w:type="pct"/>
            <w:tcBorders>
              <w:top w:val="nil"/>
              <w:bottom w:val="single" w:color="auto" w:sz="4" w:space="0"/>
            </w:tcBorders>
            <w:noWrap w:val="0"/>
            <w:vAlign w:val="center"/>
          </w:tcPr>
          <w:p w14:paraId="567F7E70">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1152EFE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1BA1BA3F">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2DE1726B">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69362A0C">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2C44B3E2">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222EB4EB">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24934E4E">
      <w:pPr>
        <w:widowControl/>
        <w:spacing w:line="240" w:lineRule="auto"/>
        <w:jc w:val="left"/>
        <w:rPr>
          <w:rFonts w:ascii="Times New Roman" w:hAnsi="Times New Roman" w:eastAsia="微软雅黑" w:cs="Times New Roman"/>
          <w:b/>
          <w:bCs/>
          <w:sz w:val="21"/>
          <w:szCs w:val="21"/>
        </w:rPr>
      </w:pPr>
    </w:p>
    <w:p w14:paraId="5E1057F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73ABE659">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Condition buffer：</w:t>
      </w:r>
      <w:r>
        <w:rPr>
          <w:rFonts w:ascii="Times New Roman" w:hAnsi="Times New Roman" w:eastAsia="微软雅黑" w:cs="Times New Roman"/>
          <w:color w:val="000000"/>
          <w:kern w:val="0"/>
          <w:sz w:val="21"/>
          <w:szCs w:val="21"/>
          <w:lang w:bidi="ar"/>
        </w:rPr>
        <w:t>70%ACN，0.2%TFA，每个样本需要100μl，</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298</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700</w:t>
      </w:r>
      <w:r>
        <w:rPr>
          <w:rFonts w:ascii="Times New Roman" w:hAnsi="Times New Roman" w:eastAsia="微软雅黑" w:cs="Times New Roman"/>
          <w:color w:val="000000"/>
          <w:kern w:val="0"/>
          <w:sz w:val="21"/>
          <w:szCs w:val="21"/>
          <w:lang w:bidi="ar"/>
        </w:rPr>
        <w:t>μl无水乙腈中，混匀；</w:t>
      </w:r>
    </w:p>
    <w:p w14:paraId="2E9B172C">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Wash buffer：</w:t>
      </w:r>
      <w:r>
        <w:rPr>
          <w:rFonts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6</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2.994m</w:t>
      </w:r>
      <w:r>
        <w:rPr>
          <w:rFonts w:ascii="Times New Roman" w:hAnsi="Times New Roman" w:eastAsia="微软雅黑" w:cs="Times New Roman"/>
          <w:color w:val="000000"/>
          <w:kern w:val="0"/>
          <w:sz w:val="21"/>
          <w:szCs w:val="21"/>
          <w:lang w:bidi="ar"/>
        </w:rPr>
        <w:t>l超纯水，混匀；</w:t>
      </w:r>
    </w:p>
    <w:p w14:paraId="6A445F9D">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Elution buffer：</w:t>
      </w:r>
      <w:r>
        <w:rPr>
          <w:rFonts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98</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900</w:t>
      </w:r>
      <w:r>
        <w:rPr>
          <w:rFonts w:ascii="Times New Roman" w:hAnsi="Times New Roman" w:eastAsia="微软雅黑" w:cs="Times New Roman"/>
          <w:color w:val="000000"/>
          <w:kern w:val="0"/>
          <w:sz w:val="21"/>
          <w:szCs w:val="21"/>
          <w:lang w:bidi="ar"/>
        </w:rPr>
        <w:t>μl无水乙腈中，混匀。</w:t>
      </w:r>
    </w:p>
    <w:p w14:paraId="2375D36F">
      <w:pPr>
        <w:spacing w:line="240" w:lineRule="auto"/>
        <w:rPr>
          <w:rFonts w:ascii="Times New Roman" w:hAnsi="Times New Roman" w:eastAsia="微软雅黑" w:cs="Times New Roman"/>
          <w:color w:val="000000"/>
          <w:kern w:val="0"/>
          <w:sz w:val="21"/>
          <w:szCs w:val="21"/>
          <w:lang w:bidi="ar"/>
        </w:rPr>
      </w:pPr>
    </w:p>
    <w:p w14:paraId="16B4AE31">
      <w:pPr>
        <w:spacing w:line="240" w:lineRule="auto"/>
        <w:rPr>
          <w:rFonts w:ascii="Times New Roman" w:hAnsi="Times New Roman" w:eastAsia="微软雅黑" w:cs="Times New Roman"/>
          <w:color w:val="FF0000"/>
          <w:kern w:val="0"/>
          <w:sz w:val="21"/>
          <w:szCs w:val="21"/>
          <w:lang w:bidi="ar"/>
        </w:rPr>
      </w:pPr>
      <w:r>
        <w:rPr>
          <w:rFonts w:ascii="Times New Roman" w:hAnsi="Times New Roman" w:eastAsia="微软雅黑" w:cs="Times New Roman"/>
          <w:b/>
          <w:bCs/>
          <w:sz w:val="21"/>
          <w:szCs w:val="21"/>
        </w:rPr>
        <w:t>5. 操作过程</w:t>
      </w:r>
    </w:p>
    <w:p w14:paraId="32945F14">
      <w:pPr>
        <w:spacing w:line="240" w:lineRule="auto"/>
        <w:rPr>
          <w:rFonts w:hint="eastAsia"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5.1 蛋白提取</w:t>
      </w:r>
    </w:p>
    <w:p w14:paraId="4E1B402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对于细胞样本，细胞沉淀</w:t>
      </w:r>
      <w:r>
        <w:rPr>
          <w:rFonts w:hint="eastAsia" w:ascii="Times New Roman" w:hAnsi="Times New Roman" w:eastAsia="微软雅黑" w:cs="Times New Roman"/>
          <w:color w:val="000000"/>
          <w:kern w:val="0"/>
          <w:sz w:val="21"/>
          <w:szCs w:val="21"/>
          <w:lang w:val="en-US" w:eastAsia="zh-CN" w:bidi="ar"/>
        </w:rPr>
        <w:t>中</w:t>
      </w:r>
      <w:r>
        <w:rPr>
          <w:rFonts w:hint="default" w:ascii="Times New Roman" w:hAnsi="Times New Roman" w:eastAsia="微软雅黑" w:cs="Times New Roman"/>
          <w:color w:val="000000"/>
          <w:kern w:val="0"/>
          <w:sz w:val="21"/>
          <w:szCs w:val="21"/>
          <w:lang w:val="en-US" w:eastAsia="zh-CN" w:bidi="ar"/>
        </w:rPr>
        <w:t>加入适量试剂 0（建议细胞量不要超过1E6。参考体积比，细胞沉淀：试剂0约 1:5）涡旋混匀，</w:t>
      </w:r>
      <w:r>
        <w:rPr>
          <w:rFonts w:hint="default" w:ascii="Times New Roman" w:hAnsi="Times New Roman" w:eastAsia="微软雅黑" w:cs="Times New Roman"/>
          <w:color w:val="000000"/>
          <w:kern w:val="0"/>
          <w:sz w:val="21"/>
          <w:szCs w:val="21"/>
          <w:highlight w:val="none"/>
          <w:lang w:val="en-US" w:eastAsia="zh-CN" w:bidi="ar"/>
        </w:rPr>
        <w:t>200μl</w:t>
      </w:r>
      <w:r>
        <w:rPr>
          <w:rFonts w:hint="default" w:ascii="Times New Roman" w:hAnsi="Times New Roman" w:eastAsia="微软雅黑" w:cs="Times New Roman"/>
          <w:color w:val="000000"/>
          <w:kern w:val="0"/>
          <w:sz w:val="21"/>
          <w:szCs w:val="21"/>
          <w:lang w:val="en-US" w:eastAsia="zh-CN" w:bidi="ar"/>
        </w:rPr>
        <w:t>枪头反复吹打15-20次，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w:t>
      </w:r>
      <w:r>
        <w:rPr>
          <w:rFonts w:hint="default" w:ascii="Times New Roman" w:hAnsi="Times New Roman" w:eastAsia="微软雅黑" w:cs="Times New Roman"/>
          <w:color w:val="000000"/>
          <w:kern w:val="0"/>
          <w:sz w:val="21"/>
          <w:szCs w:val="21"/>
          <w:lang w:val="en-US" w:eastAsia="zh-CN" w:bidi="ar"/>
        </w:rPr>
        <w:t>（95℃，1000rpm）</w:t>
      </w:r>
      <w:r>
        <w:rPr>
          <w:rFonts w:hint="eastAsia" w:ascii="Times New Roman" w:hAnsi="Times New Roman" w:eastAsia="微软雅黑" w:cs="Times New Roman"/>
          <w:color w:val="auto"/>
          <w:kern w:val="0"/>
          <w:sz w:val="21"/>
          <w:szCs w:val="21"/>
          <w:lang w:val="en-US" w:eastAsia="zh-CN" w:bidi="ar"/>
        </w:rPr>
        <w:t>，然后</w:t>
      </w:r>
      <w:r>
        <w:rPr>
          <w:rFonts w:hint="default" w:ascii="Times New Roman" w:hAnsi="Times New Roman" w:eastAsia="微软雅黑" w:cs="Times New Roman"/>
          <w:color w:val="000000"/>
          <w:kern w:val="0"/>
          <w:sz w:val="21"/>
          <w:szCs w:val="21"/>
          <w:lang w:val="en-US" w:eastAsia="zh-CN" w:bidi="ar"/>
        </w:rPr>
        <w:t>置于冰上裂解10min；</w:t>
      </w:r>
    </w:p>
    <w:p w14:paraId="588B78B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val="en-US" w:eastAsia="zh-CN" w:bidi="ar"/>
        </w:rPr>
        <w:t>注：样品出现粘稠时</w:t>
      </w:r>
      <w:r>
        <w:rPr>
          <w:rFonts w:hint="eastAsia" w:ascii="Times New Roman" w:hAnsi="Times New Roman" w:eastAsia="微软雅黑" w:cs="Times New Roman"/>
          <w:color w:val="FF0000"/>
          <w:kern w:val="0"/>
          <w:sz w:val="21"/>
          <w:szCs w:val="21"/>
          <w:lang w:val="en-US" w:eastAsia="zh-CN" w:bidi="ar"/>
        </w:rPr>
        <w:t>可</w:t>
      </w:r>
      <w:r>
        <w:rPr>
          <w:rFonts w:hint="default" w:ascii="Times New Roman" w:hAnsi="Times New Roman" w:eastAsia="微软雅黑" w:cs="Times New Roman"/>
          <w:color w:val="FF0000"/>
          <w:kern w:val="0"/>
          <w:sz w:val="21"/>
          <w:szCs w:val="21"/>
          <w:lang w:val="en-US" w:eastAsia="zh-CN" w:bidi="ar"/>
        </w:rPr>
        <w:t>使用超声波细胞破碎仪冰上超声2 min （25-30Hz ,</w:t>
      </w:r>
      <w:r>
        <w:rPr>
          <w:rFonts w:hint="eastAsia" w:ascii="Times New Roman" w:hAnsi="Times New Roman" w:eastAsia="微软雅黑" w:cs="Times New Roman"/>
          <w:color w:val="FF0000"/>
          <w:kern w:val="0"/>
          <w:sz w:val="21"/>
          <w:szCs w:val="21"/>
          <w:lang w:val="en-US" w:eastAsia="zh-CN" w:bidi="ar"/>
        </w:rPr>
        <w:t>超声</w:t>
      </w:r>
      <w:r>
        <w:rPr>
          <w:rFonts w:hint="default" w:ascii="Times New Roman" w:hAnsi="Times New Roman" w:eastAsia="微软雅黑" w:cs="Times New Roman"/>
          <w:color w:val="FF0000"/>
          <w:kern w:val="0"/>
          <w:sz w:val="21"/>
          <w:szCs w:val="21"/>
          <w:lang w:val="en-US" w:eastAsia="zh-CN" w:bidi="ar"/>
        </w:rPr>
        <w:t>10s停10s）；</w:t>
      </w:r>
    </w:p>
    <w:p w14:paraId="707EFD6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对于组织样本，取适量组织样品加入试剂0（按1：8的比例加入试剂0，即25mg组织加入200</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试剂0），高通量组织研磨仪震荡研磨3次，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w:t>
      </w:r>
      <w:r>
        <w:rPr>
          <w:rFonts w:hint="default" w:ascii="Times New Roman" w:hAnsi="Times New Roman" w:eastAsia="微软雅黑" w:cs="Times New Roman"/>
          <w:color w:val="000000"/>
          <w:kern w:val="0"/>
          <w:sz w:val="21"/>
          <w:szCs w:val="21"/>
          <w:lang w:val="en-US" w:eastAsia="zh-CN" w:bidi="ar"/>
        </w:rPr>
        <w:t>（95℃，1000rpm）</w:t>
      </w:r>
      <w:r>
        <w:rPr>
          <w:rFonts w:hint="eastAsia" w:ascii="Times New Roman" w:hAnsi="Times New Roman" w:eastAsia="微软雅黑" w:cs="Times New Roman"/>
          <w:color w:val="auto"/>
          <w:kern w:val="0"/>
          <w:sz w:val="21"/>
          <w:szCs w:val="21"/>
          <w:lang w:val="en-US" w:eastAsia="zh-CN" w:bidi="ar"/>
        </w:rPr>
        <w:t>，然后</w:t>
      </w:r>
      <w:r>
        <w:rPr>
          <w:rFonts w:hint="default" w:ascii="Times New Roman" w:hAnsi="Times New Roman" w:eastAsia="微软雅黑" w:cs="Times New Roman"/>
          <w:color w:val="000000"/>
          <w:kern w:val="0"/>
          <w:sz w:val="21"/>
          <w:szCs w:val="21"/>
          <w:lang w:val="en-US" w:eastAsia="zh-CN" w:bidi="ar"/>
        </w:rPr>
        <w:t>置于冰上裂解10min；</w:t>
      </w:r>
    </w:p>
    <w:p w14:paraId="213B5D8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对于血液样本，可直接取0.5</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血液样本进行5.</w:t>
      </w:r>
      <w:r>
        <w:rPr>
          <w:rFonts w:hint="eastAsia" w:ascii="Times New Roman" w:hAnsi="Times New Roman" w:eastAsia="微软雅黑" w:cs="Times New Roman"/>
          <w:color w:val="000000"/>
          <w:kern w:val="0"/>
          <w:sz w:val="21"/>
          <w:szCs w:val="21"/>
          <w:lang w:val="en-US" w:eastAsia="zh-CN" w:bidi="ar"/>
        </w:rPr>
        <w:t>2</w:t>
      </w:r>
      <w:r>
        <w:rPr>
          <w:rFonts w:hint="default" w:ascii="Times New Roman" w:hAnsi="Times New Roman" w:eastAsia="微软雅黑" w:cs="Times New Roman"/>
          <w:color w:val="000000"/>
          <w:kern w:val="0"/>
          <w:sz w:val="21"/>
          <w:szCs w:val="21"/>
          <w:lang w:val="en-US" w:eastAsia="zh-CN" w:bidi="ar"/>
        </w:rPr>
        <w:t xml:space="preserve"> 步骤a的操作；</w:t>
      </w:r>
    </w:p>
    <w:p w14:paraId="0B07BF22">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4℃，12000g 离心 20min，取上清；</w:t>
      </w:r>
    </w:p>
    <w:p w14:paraId="3BC05BE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BCA 蛋白定量；</w:t>
      </w:r>
    </w:p>
    <w:p w14:paraId="07F339A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b/>
          <w:bCs/>
          <w:sz w:val="21"/>
          <w:szCs w:val="21"/>
          <w:lang w:val="en-US" w:eastAsia="zh-CN"/>
        </w:rPr>
      </w:pPr>
      <w:r>
        <w:rPr>
          <w:rFonts w:hint="default" w:ascii="Times New Roman" w:hAnsi="Times New Roman" w:eastAsia="微软雅黑" w:cs="Times New Roman"/>
          <w:b w:val="0"/>
          <w:bCs w:val="0"/>
          <w:color w:val="000000"/>
          <w:kern w:val="0"/>
          <w:sz w:val="21"/>
          <w:szCs w:val="21"/>
          <w:lang w:val="en-US" w:eastAsia="zh-CN" w:bidi="ar"/>
        </w:rPr>
        <w:t>根据定量结果，建议取1-30μg 蛋白样品进行后续操作。</w:t>
      </w:r>
    </w:p>
    <w:p w14:paraId="2D395F60">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w:t>
      </w:r>
      <w:r>
        <w:rPr>
          <w:rFonts w:hint="eastAsia" w:ascii="Times New Roman" w:hAnsi="Times New Roman" w:eastAsia="微软雅黑" w:cs="Times New Roman"/>
          <w:b/>
          <w:bCs/>
          <w:sz w:val="21"/>
          <w:szCs w:val="21"/>
          <w:lang w:val="en-US" w:eastAsia="zh-CN"/>
        </w:rPr>
        <w:t>2</w:t>
      </w:r>
      <w:r>
        <w:rPr>
          <w:rFonts w:ascii="Times New Roman" w:hAnsi="Times New Roman" w:eastAsia="微软雅黑" w:cs="Times New Roman"/>
          <w:b/>
          <w:bCs/>
          <w:sz w:val="21"/>
          <w:szCs w:val="21"/>
        </w:rPr>
        <w:t xml:space="preserve"> 蛋白酶解</w:t>
      </w:r>
    </w:p>
    <w:p w14:paraId="1DBC0C9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bidi="ar"/>
        </w:rPr>
        <w:t xml:space="preserve">a. </w:t>
      </w:r>
      <w:r>
        <w:rPr>
          <w:rFonts w:hint="default" w:ascii="Times New Roman" w:hAnsi="Times New Roman" w:eastAsia="微软雅黑" w:cs="Times New Roman"/>
          <w:color w:val="000000"/>
          <w:kern w:val="0"/>
          <w:sz w:val="21"/>
          <w:szCs w:val="21"/>
          <w:lang w:val="en-US" w:eastAsia="zh-CN" w:bidi="ar"/>
        </w:rPr>
        <w:t>步骤5.1 d中得到的蛋白溶液（</w:t>
      </w:r>
      <w:r>
        <w:rPr>
          <w:rFonts w:hint="default" w:ascii="Times New Roman" w:hAnsi="Times New Roman" w:eastAsia="微软雅黑" w:cs="Times New Roman"/>
          <w:color w:val="FF0000"/>
          <w:kern w:val="0"/>
          <w:sz w:val="21"/>
          <w:szCs w:val="21"/>
          <w:lang w:val="en-US" w:eastAsia="zh-CN" w:bidi="ar"/>
        </w:rPr>
        <w:t>建议总体积不超过20</w:t>
      </w:r>
      <w:r>
        <w:rPr>
          <w:rFonts w:hint="default" w:ascii="Times New Roman" w:hAnsi="Times New Roman" w:eastAsia="微软雅黑" w:cs="Times New Roman"/>
          <w:color w:val="FF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），补加试剂A 20 μl，吹打混匀；</w:t>
      </w:r>
    </w:p>
    <w:p w14:paraId="2B9765C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b. 95℃加热5min（95℃，1000rpm）；</w:t>
      </w:r>
    </w:p>
    <w:p w14:paraId="521F24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w:t>
      </w:r>
      <w:r>
        <w:rPr>
          <w:rFonts w:hint="eastAsia" w:ascii="Times New Roman" w:hAnsi="Times New Roman" w:eastAsia="微软雅黑" w:cs="Times New Roman"/>
          <w:color w:val="000000"/>
          <w:kern w:val="0"/>
          <w:sz w:val="21"/>
          <w:szCs w:val="21"/>
          <w:lang w:val="en-US" w:eastAsia="zh-CN" w:bidi="ar"/>
        </w:rPr>
        <w:t xml:space="preserve">2h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10DDAC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Times New Roman" w:hAnsi="Times New Roman" w:eastAsia="微软雅黑" w:cs="Times New Roman"/>
          <w:b/>
          <w:bCs/>
          <w:sz w:val="21"/>
          <w:szCs w:val="21"/>
        </w:rPr>
      </w:pPr>
      <w:r>
        <w:rPr>
          <w:rFonts w:hint="default" w:ascii="Times New Roman" w:hAnsi="Times New Roman" w:eastAsia="微软雅黑" w:cs="Times New Roman"/>
          <w:color w:val="000000"/>
          <w:kern w:val="0"/>
          <w:sz w:val="21"/>
          <w:szCs w:val="21"/>
          <w:lang w:val="en-US" w:eastAsia="zh-CN" w:bidi="ar"/>
        </w:rPr>
        <w:t>d. 酶解结束后加入</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μl试剂</w:t>
      </w:r>
      <w:r>
        <w:rPr>
          <w:rFonts w:hint="eastAsia" w:ascii="Times New Roman" w:hAnsi="Times New Roman" w:eastAsia="微软雅黑" w:cs="Times New Roman"/>
          <w:color w:val="000000"/>
          <w:kern w:val="0"/>
          <w:sz w:val="21"/>
          <w:szCs w:val="21"/>
          <w:lang w:val="en-US" w:eastAsia="zh-CN" w:bidi="ar"/>
        </w:rPr>
        <w:t>C</w:t>
      </w:r>
      <w:r>
        <w:rPr>
          <w:rFonts w:hint="default" w:ascii="Times New Roman" w:hAnsi="Times New Roman" w:eastAsia="微软雅黑" w:cs="Times New Roman"/>
          <w:color w:val="000000"/>
          <w:kern w:val="0"/>
          <w:sz w:val="21"/>
          <w:szCs w:val="21"/>
          <w:lang w:val="en-US" w:eastAsia="zh-CN" w:bidi="ar"/>
        </w:rPr>
        <w:t>，混匀，终止酶解反应，此时会有沉淀出现，</w:t>
      </w:r>
      <w:r>
        <w:rPr>
          <w:rFonts w:hint="eastAsia" w:ascii="Times New Roman" w:hAnsi="Times New Roman" w:eastAsia="微软雅黑" w:cs="Times New Roman"/>
          <w:color w:val="000000"/>
          <w:kern w:val="0"/>
          <w:sz w:val="21"/>
          <w:szCs w:val="21"/>
          <w:lang w:val="en-US" w:eastAsia="zh-CN" w:bidi="ar"/>
        </w:rPr>
        <w:t>14</w:t>
      </w:r>
      <w:r>
        <w:rPr>
          <w:rFonts w:hint="default" w:ascii="Times New Roman" w:hAnsi="Times New Roman" w:eastAsia="微软雅黑" w:cs="Times New Roman"/>
          <w:color w:val="000000"/>
          <w:kern w:val="0"/>
          <w:sz w:val="21"/>
          <w:szCs w:val="21"/>
          <w:lang w:val="en-US" w:eastAsia="zh-CN" w:bidi="ar"/>
        </w:rPr>
        <w:t>000g离心</w:t>
      </w:r>
      <w:r>
        <w:rPr>
          <w:rFonts w:hint="eastAsia" w:ascii="Times New Roman" w:hAnsi="Times New Roman" w:eastAsia="微软雅黑" w:cs="Times New Roman"/>
          <w:color w:val="000000"/>
          <w:kern w:val="0"/>
          <w:sz w:val="21"/>
          <w:szCs w:val="21"/>
          <w:lang w:val="en-US" w:eastAsia="zh-CN" w:bidi="ar"/>
        </w:rPr>
        <w:t>5</w:t>
      </w:r>
      <w:r>
        <w:rPr>
          <w:rFonts w:hint="default" w:ascii="Times New Roman" w:hAnsi="Times New Roman" w:eastAsia="微软雅黑" w:cs="Times New Roman"/>
          <w:color w:val="000000"/>
          <w:kern w:val="0"/>
          <w:sz w:val="21"/>
          <w:szCs w:val="21"/>
          <w:lang w:val="en-US" w:eastAsia="zh-CN" w:bidi="ar"/>
        </w:rPr>
        <w:t>min吸取上清待后续脱盐。</w:t>
      </w:r>
    </w:p>
    <w:p w14:paraId="03183A29">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5.3 肽段脱盐</w:t>
      </w:r>
    </w:p>
    <w:p w14:paraId="5ED24FDA">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脱盐柱活化：</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0μl甲醇加入到脱盐柱中，700g离心1min；</w:t>
      </w:r>
    </w:p>
    <w:p w14:paraId="4F49DC38">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脱盐柱去杂质：</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 Condition buffer加入到脱盐柱中，700g离心1min；</w:t>
      </w:r>
    </w:p>
    <w:p w14:paraId="5D2A7906">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脱盐柱平衡：</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 Wash buffer加入到脱盐柱中，700g离心1min；</w:t>
      </w:r>
    </w:p>
    <w:p w14:paraId="08F4FA23">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加载样本：将样本</w:t>
      </w:r>
      <w:r>
        <w:rPr>
          <w:rFonts w:hint="eastAsia" w:ascii="Times New Roman" w:hAnsi="Times New Roman" w:eastAsia="微软雅黑" w:cs="Times New Roman"/>
          <w:color w:val="000000"/>
          <w:kern w:val="0"/>
          <w:sz w:val="21"/>
          <w:szCs w:val="21"/>
          <w:lang w:bidi="ar"/>
        </w:rPr>
        <w:t>（1-30μg）</w:t>
      </w:r>
      <w:r>
        <w:rPr>
          <w:rFonts w:ascii="Times New Roman" w:hAnsi="Times New Roman" w:eastAsia="微软雅黑" w:cs="Times New Roman"/>
          <w:color w:val="000000"/>
          <w:kern w:val="0"/>
          <w:sz w:val="21"/>
          <w:szCs w:val="21"/>
          <w:lang w:bidi="ar"/>
        </w:rPr>
        <w:t>全部加载到脱盐柱中，700g离心1min，重复操作一次；</w:t>
      </w:r>
      <w:r>
        <w:rPr>
          <w:rFonts w:ascii="Times New Roman" w:hAnsi="Times New Roman" w:eastAsia="微软雅黑" w:cs="Times New Roman"/>
          <w:color w:val="FF0000"/>
          <w:kern w:val="0"/>
          <w:sz w:val="21"/>
          <w:szCs w:val="21"/>
          <w:lang w:bidi="ar"/>
        </w:rPr>
        <w:t>（</w:t>
      </w:r>
      <w:r>
        <w:rPr>
          <w:rFonts w:hint="eastAsia" w:ascii="Times New Roman" w:hAnsi="Times New Roman" w:eastAsia="微软雅黑" w:cs="Times New Roman"/>
          <w:color w:val="FF0000"/>
          <w:kern w:val="0"/>
          <w:sz w:val="21"/>
          <w:szCs w:val="21"/>
          <w:lang w:val="en-US" w:eastAsia="zh-CN" w:bidi="ar"/>
        </w:rPr>
        <w:t>加载样本前确保pH &lt; 3</w:t>
      </w:r>
      <w:r>
        <w:rPr>
          <w:rFonts w:ascii="Times New Roman" w:hAnsi="Times New Roman" w:eastAsia="微软雅黑" w:cs="Times New Roman"/>
          <w:color w:val="FF0000"/>
          <w:kern w:val="0"/>
          <w:sz w:val="21"/>
          <w:szCs w:val="21"/>
          <w:lang w:bidi="ar"/>
        </w:rPr>
        <w:t>，可</w:t>
      </w:r>
      <w:r>
        <w:rPr>
          <w:rFonts w:hint="eastAsia" w:ascii="Times New Roman" w:hAnsi="Times New Roman" w:eastAsia="微软雅黑" w:cs="Times New Roman"/>
          <w:color w:val="FF0000"/>
          <w:kern w:val="0"/>
          <w:sz w:val="21"/>
          <w:szCs w:val="21"/>
          <w:lang w:bidi="ar"/>
        </w:rPr>
        <w:t>使用20%TFA</w:t>
      </w:r>
      <w:r>
        <w:rPr>
          <w:rFonts w:ascii="Times New Roman" w:hAnsi="Times New Roman" w:eastAsia="微软雅黑" w:cs="Times New Roman"/>
          <w:color w:val="FF0000"/>
          <w:kern w:val="0"/>
          <w:sz w:val="21"/>
          <w:szCs w:val="21"/>
          <w:lang w:bidi="ar"/>
        </w:rPr>
        <w:t>调pH＜3后加载样本）</w:t>
      </w:r>
    </w:p>
    <w:p w14:paraId="76AA0E85">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脱盐柱清洗：</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 Wash buffer加入到脱盐柱中，700g离心1min，重复操作一次；</w:t>
      </w:r>
    </w:p>
    <w:p w14:paraId="3CA7CE3D">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样本洗脱</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0μl Elution buffer加入到脱盐柱中，700g离心1min，洗脱两次，最终样本体积为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p>
    <w:p w14:paraId="6B91E57A">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真空冷冻离心浓缩仪浓缩样本。</w:t>
      </w:r>
    </w:p>
    <w:p w14:paraId="54E58A73">
      <w:pPr>
        <w:spacing w:line="240" w:lineRule="auto"/>
        <w:rPr>
          <w:rFonts w:ascii="Times New Roman" w:hAnsi="Times New Roman" w:eastAsia="微软雅黑" w:cs="Times New Roman"/>
          <w:b/>
          <w:bCs/>
          <w:sz w:val="21"/>
          <w:szCs w:val="21"/>
        </w:rPr>
      </w:pPr>
    </w:p>
    <w:p w14:paraId="1A9E618A">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7DDDFE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试剂0和试剂A低温下会析出，建议使用前置于水浴锅中（37-50℃）放置10min，待结晶重新溶解后混匀使用；</w:t>
      </w:r>
    </w:p>
    <w:p w14:paraId="7570E0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769AA2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392C22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3EDD2E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75740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0DD2A8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84"/>
        <w:gridCol w:w="2415"/>
      </w:tblGrid>
      <w:tr w14:paraId="03E5A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5984" w:type="dxa"/>
            <w:noWrap w:val="0"/>
            <w:vAlign w:val="top"/>
          </w:tcPr>
          <w:p w14:paraId="72F67D5C">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6"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code"/>
                          <pic:cNvPicPr>
                            <a:picLocks noChangeAspect="1"/>
                          </pic:cNvPicPr>
                        </pic:nvPicPr>
                        <pic:blipFill>
                          <a:blip r:embed="rId11"/>
                          <a:stretch>
                            <a:fillRect/>
                          </a:stretch>
                        </pic:blipFill>
                        <pic:spPr>
                          <a:xfrm>
                            <a:off x="0" y="0"/>
                            <a:ext cx="666115" cy="666115"/>
                          </a:xfrm>
                          <a:prstGeom prst="rect">
                            <a:avLst/>
                          </a:prstGeom>
                          <a:noFill/>
                          <a:ln>
                            <a:noFill/>
                          </a:ln>
                        </pic:spPr>
                      </pic:pic>
                    </a:graphicData>
                  </a:graphic>
                </wp:inline>
              </w:drawing>
            </w:r>
          </w:p>
        </w:tc>
        <w:tc>
          <w:tcPr>
            <w:tcW w:w="2415" w:type="dxa"/>
            <w:noWrap w:val="0"/>
            <w:vAlign w:val="center"/>
          </w:tcPr>
          <w:p w14:paraId="2A2A81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47CAE3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0FA14B0E">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DD1508B">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327" w:right="1689" w:bottom="1157" w:left="1689" w:header="851" w:footer="90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01E19">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D7BAF8">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55D7BAF8">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9334500</wp:posOffset>
          </wp:positionV>
          <wp:extent cx="7559675" cy="1327150"/>
          <wp:effectExtent l="0" t="0" r="3175" b="6350"/>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59675" cy="132715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BBC0E">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559675" cy="1357630"/>
          <wp:effectExtent l="0" t="0" r="317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3">
    <w:nsid w:val="D0856594"/>
    <w:multiLevelType w:val="singleLevel"/>
    <w:tmpl w:val="D0856594"/>
    <w:lvl w:ilvl="0" w:tentative="0">
      <w:start w:val="1"/>
      <w:numFmt w:val="lowerLetter"/>
      <w:lvlText w:val="%1."/>
      <w:lvlJc w:val="left"/>
      <w:pPr>
        <w:ind w:left="425" w:hanging="425"/>
      </w:pPr>
      <w:rPr>
        <w:rFonts w:hint="default"/>
      </w:rPr>
    </w:lvl>
  </w:abstractNum>
  <w:abstractNum w:abstractNumId="4">
    <w:nsid w:val="4EB15633"/>
    <w:multiLevelType w:val="singleLevel"/>
    <w:tmpl w:val="4EB15633"/>
    <w:lvl w:ilvl="0" w:tentative="0">
      <w:start w:val="1"/>
      <w:numFmt w:val="decimal"/>
      <w:suff w:val="space"/>
      <w:lvlText w:val="%1."/>
      <w:lvlJc w:val="left"/>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77d43718-c83b-406f-b77c-a9a7c423d7f7"/>
  </w:docVars>
  <w:rsids>
    <w:rsidRoot w:val="00000000"/>
    <w:rsid w:val="0A913B1C"/>
    <w:rsid w:val="0B4D3BF1"/>
    <w:rsid w:val="13AC0DFB"/>
    <w:rsid w:val="13F96C6D"/>
    <w:rsid w:val="14E8613E"/>
    <w:rsid w:val="1BAF4D2D"/>
    <w:rsid w:val="1D2737FF"/>
    <w:rsid w:val="1D940501"/>
    <w:rsid w:val="1EFC5E1C"/>
    <w:rsid w:val="239D478B"/>
    <w:rsid w:val="274B70FF"/>
    <w:rsid w:val="295E5B46"/>
    <w:rsid w:val="2A852502"/>
    <w:rsid w:val="2FFA371C"/>
    <w:rsid w:val="306744D1"/>
    <w:rsid w:val="344F3FA7"/>
    <w:rsid w:val="3D2C6E4B"/>
    <w:rsid w:val="3D5B7ECD"/>
    <w:rsid w:val="3F8F6DDC"/>
    <w:rsid w:val="41412BA9"/>
    <w:rsid w:val="42F655C2"/>
    <w:rsid w:val="43357339"/>
    <w:rsid w:val="4B281F6A"/>
    <w:rsid w:val="4C886703"/>
    <w:rsid w:val="4D3A5FEE"/>
    <w:rsid w:val="4E0E0F6C"/>
    <w:rsid w:val="517D186C"/>
    <w:rsid w:val="52A5300F"/>
    <w:rsid w:val="549F7650"/>
    <w:rsid w:val="57B07E2E"/>
    <w:rsid w:val="57DC32D5"/>
    <w:rsid w:val="60546E99"/>
    <w:rsid w:val="60A74B67"/>
    <w:rsid w:val="63F70CE7"/>
    <w:rsid w:val="651314FA"/>
    <w:rsid w:val="6FE5696F"/>
    <w:rsid w:val="75BE509E"/>
    <w:rsid w:val="75D90C82"/>
    <w:rsid w:val="7ACB64C7"/>
    <w:rsid w:val="7AF516A8"/>
    <w:rsid w:val="7D1909ED"/>
    <w:rsid w:val="7D5B3103"/>
    <w:rsid w:val="7E505E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1589</Words>
  <Characters>2219</Characters>
  <Lines>0</Lines>
  <Paragraphs>0</Paragraphs>
  <TotalTime>0</TotalTime>
  <ScaleCrop>false</ScaleCrop>
  <LinksUpToDate>false</LinksUpToDate>
  <CharactersWithSpaces>2310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cp:lastPrinted>2025-03-31T02:01:50Z</cp:lastPrinted>
  <dcterms:modified xsi:type="dcterms:W3CDTF">2026-06-11T06:43:49Z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2A60F34A381A476293FA5AC2AD088E9A_13</vt:lpwstr>
  </property>
  <property fmtid="{D5CDD505-2E9C-101B-9397-08002B2CF9AE}" pid="4" name="KSOTemplateDocerSaveRecord">
    <vt:lpwstr>eyJoZGlkIjoiNGE4MmJmZWM4N2NmNzM0ODc5NTJkMGZhNzZhNmI2ZDgiLCJ1c2VySWQiOiI2OTYyMTYzMjYifQ==</vt:lpwstr>
  </property>
</Properties>
</file>