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81D2FF">
      <w:pPr>
        <w:jc w:val="center"/>
        <w:rPr>
          <w:rFonts w:hint="default" w:ascii="Times New Roman" w:hAnsi="Times New Roman" w:eastAsia="微软雅黑" w:cs="Times New Roman"/>
          <w:b/>
          <w:bCs/>
          <w:sz w:val="32"/>
          <w:szCs w:val="32"/>
        </w:rPr>
      </w:pPr>
      <w:bookmarkStart w:id="3" w:name="_GoBack"/>
      <w:bookmarkEnd w:id="3"/>
      <w:r>
        <w:rPr>
          <w:rFonts w:hint="default" w:ascii="Times New Roman" w:hAnsi="Times New Roman" w:eastAsia="微软雅黑" w:cs="Times New Roman"/>
          <w:b/>
          <w:bCs/>
          <w:sz w:val="32"/>
          <w:szCs w:val="32"/>
        </w:rPr>
        <w:t>易肽</w:t>
      </w:r>
      <w:r>
        <w:rPr>
          <w:rFonts w:hint="default" w:ascii="Times New Roman" w:hAnsi="Times New Roman" w:eastAsia="微软雅黑" w:cs="Times New Roman"/>
          <w:b/>
          <w:bCs/>
          <w:sz w:val="32"/>
          <w:szCs w:val="32"/>
          <w:lang w:val="en-US" w:eastAsia="zh-CN"/>
        </w:rPr>
        <w:t>Micro</w:t>
      </w:r>
      <w:r>
        <w:rPr>
          <w:rFonts w:hint="default" w:ascii="Times New Roman" w:hAnsi="Times New Roman" w:eastAsia="微软雅黑" w:cs="Times New Roman"/>
          <w:b/>
          <w:bCs/>
          <w:sz w:val="32"/>
          <w:szCs w:val="32"/>
        </w:rPr>
        <w:t>前处理制备试剂盒</w:t>
      </w:r>
    </w:p>
    <w:p w14:paraId="047994AF">
      <w:pPr>
        <w:jc w:val="center"/>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货号：OSFP0001</w:t>
      </w:r>
      <w:r>
        <w:rPr>
          <w:rFonts w:hint="eastAsia" w:ascii="Times New Roman" w:hAnsi="Times New Roman" w:eastAsia="微软雅黑" w:cs="Times New Roman"/>
          <w:lang w:val="en-US" w:eastAsia="zh-CN"/>
        </w:rPr>
        <w:t>-AUTO</w:t>
      </w:r>
      <w:r>
        <w:rPr>
          <w:rFonts w:hint="default" w:ascii="Times New Roman" w:hAnsi="Times New Roman" w:eastAsia="微软雅黑" w:cs="Times New Roman"/>
          <w:lang w:val="en-US" w:eastAsia="zh-CN"/>
        </w:rPr>
        <w:t xml:space="preserve"> </w:t>
      </w:r>
      <w:r>
        <w:rPr>
          <w:rFonts w:hint="eastAsia" w:ascii="Times New Roman" w:hAnsi="Times New Roman" w:eastAsia="微软雅黑" w:cs="Times New Roman"/>
          <w:lang w:val="en-US" w:eastAsia="zh-CN"/>
        </w:rPr>
        <w:t xml:space="preserve"> </w:t>
      </w:r>
      <w:r>
        <w:rPr>
          <w:rFonts w:hint="default" w:ascii="Times New Roman" w:hAnsi="Times New Roman" w:eastAsia="微软雅黑" w:cs="Times New Roman"/>
          <w:lang w:val="en-US" w:eastAsia="zh-CN"/>
        </w:rPr>
        <w:t>规格：</w:t>
      </w:r>
      <w:r>
        <w:rPr>
          <w:rFonts w:hint="eastAsia" w:ascii="Times New Roman" w:hAnsi="Times New Roman" w:eastAsia="微软雅黑" w:cs="Times New Roman"/>
          <w:lang w:val="en-US" w:eastAsia="zh-CN"/>
        </w:rPr>
        <w:t>24</w:t>
      </w:r>
      <w:r>
        <w:rPr>
          <w:rFonts w:hint="default" w:ascii="Times New Roman" w:hAnsi="Times New Roman" w:eastAsia="微软雅黑" w:cs="Times New Roman"/>
          <w:lang w:val="en-US" w:eastAsia="zh-CN"/>
        </w:rPr>
        <w:t>x</w:t>
      </w:r>
      <w:r>
        <w:rPr>
          <w:rFonts w:hint="eastAsia" w:ascii="Times New Roman" w:hAnsi="Times New Roman" w:eastAsia="微软雅黑" w:cs="Times New Roman"/>
          <w:lang w:val="en-US" w:eastAsia="zh-CN"/>
        </w:rPr>
        <w:t xml:space="preserve">  版本号：</w:t>
      </w:r>
      <w:r>
        <w:rPr>
          <w:rFonts w:ascii="宋体" w:hAnsi="宋体" w:eastAsia="宋体" w:cs="宋体"/>
          <w:sz w:val="24"/>
          <w:szCs w:val="24"/>
        </w:rPr>
        <w:t>V202606</w:t>
      </w:r>
      <w:r>
        <w:rPr>
          <w:rFonts w:hint="eastAsia" w:ascii="宋体" w:hAnsi="宋体" w:eastAsia="宋体" w:cs="宋体"/>
          <w:sz w:val="24"/>
          <w:szCs w:val="24"/>
          <w:lang w:val="en-US" w:eastAsia="zh-CN"/>
        </w:rPr>
        <w:t>08</w:t>
      </w:r>
    </w:p>
    <w:p w14:paraId="19C323A8">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试剂盒包含：</w:t>
      </w:r>
    </w:p>
    <w:tbl>
      <w:tblPr>
        <w:tblStyle w:val="6"/>
        <w:tblpPr w:leftFromText="180" w:rightFromText="180" w:vertAnchor="text" w:horzAnchor="page" w:tblpXSpec="center" w:tblpY="579"/>
        <w:tblOverlap w:val="never"/>
        <w:tblW w:w="4994"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35"/>
        <w:gridCol w:w="1793"/>
        <w:gridCol w:w="4965"/>
        <w:gridCol w:w="1332"/>
      </w:tblGrid>
      <w:tr w14:paraId="4F070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753" w:type="pct"/>
            <w:tcBorders>
              <w:top w:val="single" w:color="auto" w:sz="6" w:space="0"/>
              <w:bottom w:val="single" w:color="auto" w:sz="6" w:space="0"/>
            </w:tcBorders>
            <w:noWrap w:val="0"/>
            <w:vAlign w:val="center"/>
          </w:tcPr>
          <w:p w14:paraId="059125B3">
            <w:pPr>
              <w:spacing w:line="240" w:lineRule="auto"/>
              <w:jc w:val="center"/>
              <w:rPr>
                <w:rFonts w:hint="default" w:ascii="Times New Roman" w:hAnsi="Times New Roman" w:eastAsia="微软雅黑" w:cs="Times New Roman"/>
                <w:b/>
                <w:bCs/>
                <w:sz w:val="21"/>
                <w:szCs w:val="21"/>
              </w:rPr>
            </w:pPr>
            <w:r>
              <w:rPr>
                <w:rFonts w:hint="default" w:ascii="Times New Roman" w:hAnsi="Times New Roman" w:eastAsia="微软雅黑" w:cs="Times New Roman"/>
                <w:b/>
                <w:bCs/>
                <w:sz w:val="21"/>
                <w:szCs w:val="21"/>
              </w:rPr>
              <w:t>试剂名称</w:t>
            </w:r>
          </w:p>
        </w:tc>
        <w:tc>
          <w:tcPr>
            <w:tcW w:w="941" w:type="pct"/>
            <w:tcBorders>
              <w:top w:val="single" w:color="auto" w:sz="6" w:space="0"/>
              <w:bottom w:val="single" w:color="auto" w:sz="6" w:space="0"/>
            </w:tcBorders>
            <w:noWrap w:val="0"/>
            <w:vAlign w:val="center"/>
          </w:tcPr>
          <w:p w14:paraId="1DC6674C">
            <w:pPr>
              <w:spacing w:line="240" w:lineRule="auto"/>
              <w:jc w:val="center"/>
              <w:rPr>
                <w:rFonts w:hint="default" w:ascii="Times New Roman" w:hAnsi="Times New Roman" w:eastAsia="微软雅黑" w:cs="Times New Roman"/>
                <w:b/>
                <w:bCs/>
                <w:sz w:val="21"/>
                <w:szCs w:val="21"/>
              </w:rPr>
            </w:pPr>
            <w:r>
              <w:rPr>
                <w:rFonts w:hint="default" w:ascii="Times New Roman" w:hAnsi="Times New Roman" w:eastAsia="微软雅黑" w:cs="Times New Roman"/>
                <w:b/>
                <w:bCs/>
                <w:sz w:val="21"/>
                <w:szCs w:val="21"/>
              </w:rPr>
              <w:t>规格</w:t>
            </w:r>
          </w:p>
        </w:tc>
        <w:tc>
          <w:tcPr>
            <w:tcW w:w="2606" w:type="pct"/>
            <w:tcBorders>
              <w:top w:val="single" w:color="auto" w:sz="6" w:space="0"/>
              <w:bottom w:val="single" w:color="auto" w:sz="6" w:space="0"/>
            </w:tcBorders>
            <w:noWrap w:val="0"/>
            <w:vAlign w:val="center"/>
          </w:tcPr>
          <w:p w14:paraId="324AFD1E">
            <w:pPr>
              <w:spacing w:line="240" w:lineRule="auto"/>
              <w:jc w:val="center"/>
              <w:rPr>
                <w:rFonts w:hint="default" w:ascii="Times New Roman" w:hAnsi="Times New Roman" w:eastAsia="微软雅黑" w:cs="Times New Roman"/>
                <w:b/>
                <w:bCs/>
                <w:sz w:val="21"/>
                <w:szCs w:val="21"/>
              </w:rPr>
            </w:pPr>
            <w:r>
              <w:rPr>
                <w:rFonts w:hint="default" w:ascii="Times New Roman" w:hAnsi="Times New Roman" w:eastAsia="微软雅黑" w:cs="Times New Roman"/>
                <w:b/>
                <w:bCs/>
                <w:sz w:val="21"/>
                <w:szCs w:val="21"/>
              </w:rPr>
              <w:t>简   介</w:t>
            </w:r>
          </w:p>
        </w:tc>
        <w:tc>
          <w:tcPr>
            <w:tcW w:w="699" w:type="pct"/>
            <w:tcBorders>
              <w:top w:val="single" w:color="auto" w:sz="6" w:space="0"/>
              <w:bottom w:val="single" w:color="auto" w:sz="6" w:space="0"/>
            </w:tcBorders>
            <w:noWrap w:val="0"/>
            <w:vAlign w:val="center"/>
          </w:tcPr>
          <w:p w14:paraId="4451C473">
            <w:pPr>
              <w:spacing w:line="240" w:lineRule="auto"/>
              <w:jc w:val="center"/>
              <w:rPr>
                <w:rFonts w:hint="default" w:ascii="Times New Roman" w:hAnsi="Times New Roman" w:eastAsia="微软雅黑" w:cs="Times New Roman"/>
                <w:b/>
                <w:bCs/>
                <w:sz w:val="21"/>
                <w:szCs w:val="21"/>
              </w:rPr>
            </w:pPr>
            <w:r>
              <w:rPr>
                <w:rFonts w:hint="default" w:ascii="Times New Roman" w:hAnsi="Times New Roman" w:eastAsia="微软雅黑" w:cs="Times New Roman"/>
                <w:b/>
                <w:bCs/>
                <w:sz w:val="21"/>
                <w:szCs w:val="21"/>
              </w:rPr>
              <w:t>储存条件</w:t>
            </w:r>
          </w:p>
        </w:tc>
      </w:tr>
      <w:tr w14:paraId="72AA9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10C2AF44">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0 </w:t>
            </w:r>
            <w:r>
              <w:rPr>
                <w:rFonts w:hint="default" w:ascii="Times New Roman" w:hAnsi="Times New Roman" w:eastAsia="微软雅黑" w:cs="Times New Roman"/>
                <w:b w:val="0"/>
                <w:bCs w:val="0"/>
                <w:color w:val="FDF731"/>
                <w:sz w:val="18"/>
                <w:szCs w:val="18"/>
                <w:vertAlign w:val="baseline"/>
                <w:lang w:val="en-US" w:eastAsia="zh-CN"/>
              </w:rPr>
              <w:t>●</w:t>
            </w:r>
            <w:r>
              <w:rPr>
                <w:rFonts w:hint="default" w:ascii="Times New Roman" w:hAnsi="Times New Roman" w:eastAsia="微软雅黑" w:cs="Times New Roman"/>
                <w:color w:val="FDF731"/>
                <w:sz w:val="18"/>
                <w:szCs w:val="18"/>
              </w:rPr>
              <w:t xml:space="preserve"> </w:t>
            </w:r>
          </w:p>
        </w:tc>
        <w:tc>
          <w:tcPr>
            <w:tcW w:w="941" w:type="pct"/>
            <w:tcBorders>
              <w:top w:val="nil"/>
              <w:bottom w:val="nil"/>
            </w:tcBorders>
            <w:noWrap w:val="0"/>
            <w:vAlign w:val="center"/>
          </w:tcPr>
          <w:p w14:paraId="6E80BBB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rPr>
            </w:pPr>
            <w:r>
              <w:rPr>
                <w:rFonts w:hint="eastAsia" w:ascii="Times New Roman" w:hAnsi="Times New Roman" w:eastAsia="微软雅黑" w:cs="Times New Roman"/>
                <w:b w:val="0"/>
                <w:bCs w:val="0"/>
                <w:sz w:val="18"/>
                <w:szCs w:val="18"/>
                <w:vertAlign w:val="baseline"/>
                <w:lang w:val="en-US" w:eastAsia="zh-CN"/>
              </w:rPr>
              <w:t>5</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1</w:t>
            </w:r>
          </w:p>
        </w:tc>
        <w:tc>
          <w:tcPr>
            <w:tcW w:w="2606" w:type="pct"/>
            <w:tcBorders>
              <w:top w:val="nil"/>
              <w:bottom w:val="nil"/>
            </w:tcBorders>
            <w:noWrap w:val="0"/>
            <w:vAlign w:val="center"/>
          </w:tcPr>
          <w:p w14:paraId="1A53341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highlight w:val="none"/>
                <w:vertAlign w:val="baseline"/>
                <w:lang w:val="en-US" w:eastAsia="zh-CN"/>
              </w:rPr>
              <w:t>裂解液，用于蛋白裂解</w:t>
            </w:r>
          </w:p>
        </w:tc>
        <w:tc>
          <w:tcPr>
            <w:tcW w:w="699" w:type="pct"/>
            <w:tcBorders>
              <w:top w:val="nil"/>
              <w:bottom w:val="nil"/>
            </w:tcBorders>
            <w:noWrap w:val="0"/>
            <w:vAlign w:val="center"/>
          </w:tcPr>
          <w:p w14:paraId="1CFB19B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4E076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5DEA25A9">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A </w:t>
            </w:r>
            <w:r>
              <w:rPr>
                <w:rFonts w:hint="default" w:ascii="Times New Roman" w:hAnsi="Times New Roman" w:eastAsia="微软雅黑" w:cs="Times New Roman"/>
                <w:b w:val="0"/>
                <w:bCs w:val="0"/>
                <w:color w:val="843C0B"/>
                <w:sz w:val="18"/>
                <w:szCs w:val="18"/>
                <w:vertAlign w:val="baseline"/>
                <w:lang w:val="en-US" w:eastAsia="zh-CN"/>
              </w:rPr>
              <w:t>●</w:t>
            </w:r>
            <w:r>
              <w:rPr>
                <w:rFonts w:hint="default" w:ascii="Times New Roman" w:hAnsi="Times New Roman" w:eastAsia="微软雅黑" w:cs="Times New Roman"/>
                <w:sz w:val="18"/>
                <w:szCs w:val="18"/>
              </w:rPr>
              <w:t xml:space="preserve"> </w:t>
            </w:r>
          </w:p>
        </w:tc>
        <w:tc>
          <w:tcPr>
            <w:tcW w:w="941" w:type="pct"/>
            <w:tcBorders>
              <w:top w:val="nil"/>
              <w:bottom w:val="nil"/>
            </w:tcBorders>
            <w:noWrap w:val="0"/>
            <w:vAlign w:val="center"/>
          </w:tcPr>
          <w:p w14:paraId="134B73B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rPr>
            </w:pPr>
            <w:r>
              <w:rPr>
                <w:rFonts w:hint="eastAsia" w:ascii="Times New Roman" w:hAnsi="Times New Roman" w:eastAsia="微软雅黑" w:cs="Times New Roman"/>
                <w:b w:val="0"/>
                <w:bCs w:val="0"/>
                <w:sz w:val="18"/>
                <w:szCs w:val="18"/>
                <w:vertAlign w:val="baseline"/>
                <w:lang w:val="en-US" w:eastAsia="zh-CN"/>
              </w:rPr>
              <w:t>1m</w:t>
            </w:r>
            <w:r>
              <w:rPr>
                <w:rFonts w:hint="default" w:ascii="Times New Roman" w:hAnsi="Times New Roman" w:eastAsia="微软雅黑" w:cs="Times New Roman"/>
                <w:b w:val="0"/>
                <w:bCs w:val="0"/>
                <w:sz w:val="18"/>
                <w:szCs w:val="18"/>
                <w:vertAlign w:val="baseline"/>
                <w:lang w:val="en-US" w:eastAsia="zh-CN"/>
              </w:rPr>
              <w:t>l*</w:t>
            </w:r>
            <w:r>
              <w:rPr>
                <w:rFonts w:hint="eastAsia" w:ascii="Times New Roman" w:hAnsi="Times New Roman" w:eastAsia="微软雅黑" w:cs="Times New Roman"/>
                <w:b w:val="0"/>
                <w:bCs w:val="0"/>
                <w:sz w:val="18"/>
                <w:szCs w:val="18"/>
                <w:vertAlign w:val="baseline"/>
                <w:lang w:val="en-US" w:eastAsia="zh-CN"/>
              </w:rPr>
              <w:t>1</w:t>
            </w:r>
          </w:p>
        </w:tc>
        <w:tc>
          <w:tcPr>
            <w:tcW w:w="2606" w:type="pct"/>
            <w:tcBorders>
              <w:top w:val="nil"/>
              <w:bottom w:val="nil"/>
            </w:tcBorders>
            <w:noWrap w:val="0"/>
            <w:vAlign w:val="center"/>
          </w:tcPr>
          <w:p w14:paraId="4FD10D5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还原烷基化</w:t>
            </w:r>
            <w:r>
              <w:rPr>
                <w:rFonts w:hint="eastAsia" w:ascii="Times New Roman" w:hAnsi="Times New Roman" w:eastAsia="微软雅黑" w:cs="Times New Roman"/>
                <w:b w:val="0"/>
                <w:bCs w:val="0"/>
                <w:sz w:val="18"/>
                <w:szCs w:val="18"/>
                <w:vertAlign w:val="baseline"/>
                <w:lang w:val="en-US" w:eastAsia="zh-CN"/>
              </w:rPr>
              <w:t>，蛋白质还原烷基化</w:t>
            </w:r>
          </w:p>
        </w:tc>
        <w:tc>
          <w:tcPr>
            <w:tcW w:w="699" w:type="pct"/>
            <w:tcBorders>
              <w:top w:val="nil"/>
              <w:bottom w:val="nil"/>
            </w:tcBorders>
            <w:noWrap w:val="0"/>
            <w:vAlign w:val="center"/>
          </w:tcPr>
          <w:p w14:paraId="181D68F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-20℃</w:t>
            </w:r>
          </w:p>
        </w:tc>
      </w:tr>
      <w:tr w14:paraId="39983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3C2A8BDE">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B </w:t>
            </w:r>
            <w:r>
              <w:rPr>
                <w:rFonts w:hint="default" w:ascii="Times New Roman" w:hAnsi="Times New Roman" w:eastAsia="微软雅黑" w:cs="Times New Roman"/>
                <w:b w:val="0"/>
                <w:bCs w:val="0"/>
                <w:color w:val="FF0000"/>
                <w:sz w:val="18"/>
                <w:szCs w:val="18"/>
                <w:vertAlign w:val="baseline"/>
                <w:lang w:val="en-US" w:eastAsia="zh-CN"/>
              </w:rPr>
              <w:t>●</w:t>
            </w:r>
            <w:r>
              <w:rPr>
                <w:rFonts w:hint="default" w:ascii="Times New Roman" w:hAnsi="Times New Roman" w:eastAsia="微软雅黑" w:cs="Times New Roman"/>
                <w:color w:val="FF0000"/>
                <w:sz w:val="18"/>
                <w:szCs w:val="18"/>
              </w:rPr>
              <w:t xml:space="preserve"> </w:t>
            </w:r>
          </w:p>
        </w:tc>
        <w:tc>
          <w:tcPr>
            <w:tcW w:w="941" w:type="pct"/>
            <w:tcBorders>
              <w:top w:val="nil"/>
              <w:bottom w:val="nil"/>
            </w:tcBorders>
            <w:noWrap w:val="0"/>
            <w:vAlign w:val="center"/>
          </w:tcPr>
          <w:p w14:paraId="61483DF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rPr>
            </w:pPr>
            <w:r>
              <w:rPr>
                <w:rFonts w:hint="eastAsia" w:ascii="Times New Roman" w:hAnsi="Times New Roman" w:eastAsia="微软雅黑" w:cs="Times New Roman"/>
                <w:b w:val="0"/>
                <w:bCs w:val="0"/>
                <w:sz w:val="18"/>
                <w:szCs w:val="18"/>
                <w:vertAlign w:val="baseline"/>
                <w:lang w:val="en-US" w:eastAsia="zh-CN"/>
              </w:rPr>
              <w:t>700</w:t>
            </w:r>
            <w:r>
              <w:rPr>
                <w:rFonts w:hint="default" w:ascii="Times New Roman" w:hAnsi="Times New Roman" w:eastAsia="微软雅黑" w:cs="Times New Roman"/>
                <w:b w:val="0"/>
                <w:bCs w:val="0"/>
                <w:sz w:val="18"/>
                <w:szCs w:val="18"/>
                <w:vertAlign w:val="baseline"/>
                <w:lang w:val="en-US" w:eastAsia="zh-CN"/>
              </w:rPr>
              <w:t>μl*</w:t>
            </w:r>
            <w:r>
              <w:rPr>
                <w:rFonts w:hint="eastAsia" w:ascii="Times New Roman" w:hAnsi="Times New Roman" w:eastAsia="微软雅黑" w:cs="Times New Roman"/>
                <w:b w:val="0"/>
                <w:bCs w:val="0"/>
                <w:sz w:val="18"/>
                <w:szCs w:val="18"/>
                <w:vertAlign w:val="baseline"/>
                <w:lang w:val="en-US" w:eastAsia="zh-CN"/>
              </w:rPr>
              <w:t>1</w:t>
            </w:r>
          </w:p>
        </w:tc>
        <w:tc>
          <w:tcPr>
            <w:tcW w:w="2606" w:type="pct"/>
            <w:tcBorders>
              <w:top w:val="nil"/>
              <w:bottom w:val="nil"/>
            </w:tcBorders>
            <w:noWrap w:val="0"/>
            <w:vAlign w:val="center"/>
          </w:tcPr>
          <w:p w14:paraId="710FBE8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酶，蛋白酶解</w:t>
            </w:r>
          </w:p>
        </w:tc>
        <w:tc>
          <w:tcPr>
            <w:tcW w:w="699" w:type="pct"/>
            <w:tcBorders>
              <w:top w:val="nil"/>
              <w:bottom w:val="nil"/>
            </w:tcBorders>
            <w:noWrap w:val="0"/>
            <w:vAlign w:val="center"/>
          </w:tcPr>
          <w:p w14:paraId="3B181CA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bookmarkStart w:id="0" w:name="OLE_LINK2"/>
            <w:r>
              <w:rPr>
                <w:rFonts w:hint="default" w:ascii="Times New Roman" w:hAnsi="Times New Roman" w:eastAsia="微软雅黑" w:cs="Times New Roman"/>
                <w:b w:val="0"/>
                <w:bCs w:val="0"/>
                <w:sz w:val="18"/>
                <w:szCs w:val="18"/>
                <w:vertAlign w:val="baseline"/>
                <w:lang w:val="en-US" w:eastAsia="zh-CN"/>
              </w:rPr>
              <w:t>-20℃</w:t>
            </w:r>
            <w:bookmarkEnd w:id="0"/>
          </w:p>
        </w:tc>
      </w:tr>
      <w:tr w14:paraId="6C100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71ADE996">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C</w:t>
            </w:r>
            <w:r>
              <w:rPr>
                <w:rFonts w:hint="default" w:ascii="Times New Roman" w:hAnsi="Times New Roman" w:eastAsia="微软雅黑" w:cs="Times New Roman"/>
                <w:sz w:val="18"/>
                <w:szCs w:val="18"/>
              </w:rPr>
              <w:t xml:space="preserve"> </w:t>
            </w:r>
            <w:r>
              <w:rPr>
                <w:rFonts w:hint="default" w:ascii="Times New Roman" w:hAnsi="Times New Roman" w:eastAsia="微软雅黑" w:cs="Times New Roman"/>
                <w:b w:val="0"/>
                <w:bCs w:val="0"/>
                <w:color w:val="auto"/>
                <w:sz w:val="18"/>
                <w:szCs w:val="18"/>
                <w:vertAlign w:val="baseline"/>
                <w:lang w:val="en-US" w:eastAsia="zh-CN"/>
              </w:rPr>
              <w:t>●</w:t>
            </w:r>
          </w:p>
        </w:tc>
        <w:tc>
          <w:tcPr>
            <w:tcW w:w="941" w:type="pct"/>
            <w:tcBorders>
              <w:top w:val="nil"/>
              <w:bottom w:val="nil"/>
            </w:tcBorders>
            <w:noWrap w:val="0"/>
            <w:vAlign w:val="center"/>
          </w:tcPr>
          <w:p w14:paraId="3B9FE9D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rPr>
            </w:pPr>
            <w:r>
              <w:rPr>
                <w:rFonts w:hint="eastAsia" w:ascii="Times New Roman" w:hAnsi="Times New Roman" w:eastAsia="微软雅黑" w:cs="Times New Roman"/>
                <w:b w:val="0"/>
                <w:bCs w:val="0"/>
                <w:sz w:val="18"/>
                <w:szCs w:val="18"/>
                <w:vertAlign w:val="baseline"/>
                <w:lang w:val="en-US" w:eastAsia="zh-CN"/>
              </w:rPr>
              <w:t>2</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2</w:t>
            </w:r>
          </w:p>
        </w:tc>
        <w:tc>
          <w:tcPr>
            <w:tcW w:w="2606" w:type="pct"/>
            <w:tcBorders>
              <w:top w:val="nil"/>
              <w:bottom w:val="nil"/>
            </w:tcBorders>
            <w:noWrap w:val="0"/>
            <w:vAlign w:val="center"/>
          </w:tcPr>
          <w:p w14:paraId="57BBEAF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终止试剂，终止酶解反应</w:t>
            </w:r>
          </w:p>
        </w:tc>
        <w:tc>
          <w:tcPr>
            <w:tcW w:w="699" w:type="pct"/>
            <w:tcBorders>
              <w:top w:val="nil"/>
              <w:bottom w:val="nil"/>
            </w:tcBorders>
            <w:noWrap w:val="0"/>
            <w:vAlign w:val="center"/>
          </w:tcPr>
          <w:p w14:paraId="10564CE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0BE65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23BE8789">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D</w:t>
            </w:r>
            <w:r>
              <w:rPr>
                <w:rFonts w:hint="default" w:ascii="Times New Roman" w:hAnsi="Times New Roman" w:eastAsia="微软雅黑" w:cs="Times New Roman"/>
                <w:b w:val="0"/>
                <w:bCs w:val="0"/>
                <w:sz w:val="18"/>
                <w:szCs w:val="18"/>
                <w:vertAlign w:val="baseline"/>
                <w:lang w:val="en-US" w:eastAsia="zh-CN"/>
              </w:rPr>
              <w:t xml:space="preserve"> </w:t>
            </w:r>
            <w:r>
              <w:rPr>
                <w:rFonts w:hint="default" w:ascii="Times New Roman" w:hAnsi="Times New Roman" w:eastAsia="微软雅黑" w:cs="Times New Roman"/>
                <w:b w:val="0"/>
                <w:bCs w:val="0"/>
                <w:color w:val="00B0F0"/>
                <w:sz w:val="18"/>
                <w:szCs w:val="18"/>
                <w:vertAlign w:val="baseline"/>
                <w:lang w:val="en-US" w:eastAsia="zh-CN"/>
              </w:rPr>
              <w:t>●</w:t>
            </w:r>
          </w:p>
        </w:tc>
        <w:tc>
          <w:tcPr>
            <w:tcW w:w="941" w:type="pct"/>
            <w:tcBorders>
              <w:top w:val="nil"/>
              <w:bottom w:val="nil"/>
            </w:tcBorders>
            <w:noWrap w:val="0"/>
            <w:vAlign w:val="center"/>
          </w:tcPr>
          <w:p w14:paraId="58C4C63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10</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1</w:t>
            </w:r>
          </w:p>
        </w:tc>
        <w:tc>
          <w:tcPr>
            <w:tcW w:w="2606" w:type="pct"/>
            <w:tcBorders>
              <w:top w:val="nil"/>
              <w:bottom w:val="nil"/>
            </w:tcBorders>
            <w:noWrap w:val="0"/>
            <w:vAlign w:val="center"/>
          </w:tcPr>
          <w:p w14:paraId="0706371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rPr>
            </w:pPr>
            <w:r>
              <w:rPr>
                <w:rFonts w:hint="default" w:ascii="Times New Roman" w:hAnsi="Times New Roman" w:eastAsia="微软雅黑" w:cs="Times New Roman"/>
                <w:b w:val="0"/>
                <w:bCs w:val="0"/>
                <w:sz w:val="18"/>
                <w:szCs w:val="18"/>
                <w:vertAlign w:val="baseline"/>
                <w:lang w:val="en-US" w:eastAsia="zh-CN"/>
              </w:rPr>
              <w:t>肽段清洗试剂1，清洗肽段</w:t>
            </w:r>
          </w:p>
        </w:tc>
        <w:tc>
          <w:tcPr>
            <w:tcW w:w="699" w:type="pct"/>
            <w:tcBorders>
              <w:top w:val="nil"/>
              <w:bottom w:val="nil"/>
            </w:tcBorders>
            <w:noWrap w:val="0"/>
            <w:vAlign w:val="center"/>
          </w:tcPr>
          <w:p w14:paraId="7480908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25163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2F0D0DCB">
            <w:pPr>
              <w:jc w:val="center"/>
              <w:rPr>
                <w:rFonts w:hint="default" w:ascii="Times New Roman" w:hAnsi="Times New Roman" w:eastAsia="微软雅黑" w:cs="Times New Roman"/>
                <w:sz w:val="18"/>
                <w:szCs w:val="18"/>
              </w:rPr>
            </w:pPr>
            <w:bookmarkStart w:id="1" w:name="OLE_LINK1"/>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E </w:t>
            </w:r>
            <w:r>
              <w:rPr>
                <w:rFonts w:hint="default" w:ascii="Times New Roman" w:hAnsi="Times New Roman" w:eastAsia="微软雅黑" w:cs="Times New Roman"/>
                <w:b w:val="0"/>
                <w:bCs w:val="0"/>
                <w:color w:val="2B8313"/>
                <w:sz w:val="18"/>
                <w:szCs w:val="18"/>
                <w:vertAlign w:val="baseline"/>
                <w:lang w:val="en-US" w:eastAsia="zh-CN"/>
              </w:rPr>
              <w:t>●</w:t>
            </w:r>
          </w:p>
        </w:tc>
        <w:tc>
          <w:tcPr>
            <w:tcW w:w="941" w:type="pct"/>
            <w:tcBorders>
              <w:top w:val="nil"/>
              <w:bottom w:val="nil"/>
            </w:tcBorders>
            <w:noWrap w:val="0"/>
            <w:vAlign w:val="center"/>
          </w:tcPr>
          <w:p w14:paraId="5A5B338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rPr>
            </w:pPr>
            <w:r>
              <w:rPr>
                <w:rFonts w:hint="eastAsia" w:ascii="Times New Roman" w:hAnsi="Times New Roman" w:eastAsia="微软雅黑" w:cs="Times New Roman"/>
                <w:b w:val="0"/>
                <w:bCs w:val="0"/>
                <w:sz w:val="18"/>
                <w:szCs w:val="18"/>
                <w:vertAlign w:val="baseline"/>
                <w:lang w:val="en-US" w:eastAsia="zh-CN"/>
              </w:rPr>
              <w:t>10</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1</w:t>
            </w:r>
          </w:p>
        </w:tc>
        <w:tc>
          <w:tcPr>
            <w:tcW w:w="2606" w:type="pct"/>
            <w:tcBorders>
              <w:top w:val="nil"/>
              <w:bottom w:val="nil"/>
            </w:tcBorders>
            <w:noWrap w:val="0"/>
            <w:vAlign w:val="center"/>
          </w:tcPr>
          <w:p w14:paraId="2BBE32D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肽段清洗试剂2，清洗肽段</w:t>
            </w:r>
          </w:p>
        </w:tc>
        <w:tc>
          <w:tcPr>
            <w:tcW w:w="699" w:type="pct"/>
            <w:tcBorders>
              <w:top w:val="nil"/>
              <w:bottom w:val="nil"/>
            </w:tcBorders>
            <w:noWrap w:val="0"/>
            <w:vAlign w:val="center"/>
          </w:tcPr>
          <w:p w14:paraId="39AB772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bookmarkStart w:id="2" w:name="OLE_LINK3"/>
            <w:r>
              <w:rPr>
                <w:rFonts w:hint="default" w:ascii="Times New Roman" w:hAnsi="Times New Roman" w:eastAsia="微软雅黑" w:cs="Times New Roman"/>
                <w:b w:val="0"/>
                <w:bCs w:val="0"/>
                <w:sz w:val="18"/>
                <w:szCs w:val="18"/>
                <w:vertAlign w:val="baseline"/>
                <w:lang w:val="en-US" w:eastAsia="zh-CN"/>
              </w:rPr>
              <w:t>常温</w:t>
            </w:r>
            <w:bookmarkEnd w:id="2"/>
          </w:p>
        </w:tc>
      </w:tr>
      <w:bookmarkEnd w:id="1"/>
      <w:tr w14:paraId="48FFA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52794E0F">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F </w:t>
            </w:r>
            <w:r>
              <w:rPr>
                <w:rFonts w:hint="default" w:ascii="Times New Roman" w:hAnsi="Times New Roman" w:eastAsia="微软雅黑" w:cs="Times New Roman"/>
                <w:b w:val="0"/>
                <w:bCs w:val="0"/>
                <w:color w:val="BE12B0"/>
                <w:sz w:val="18"/>
                <w:szCs w:val="18"/>
                <w:vertAlign w:val="baseline"/>
                <w:lang w:val="en-US" w:eastAsia="zh-CN"/>
              </w:rPr>
              <w:t>●</w:t>
            </w:r>
          </w:p>
        </w:tc>
        <w:tc>
          <w:tcPr>
            <w:tcW w:w="941" w:type="pct"/>
            <w:tcBorders>
              <w:top w:val="nil"/>
              <w:bottom w:val="nil"/>
            </w:tcBorders>
            <w:noWrap w:val="0"/>
            <w:vAlign w:val="center"/>
          </w:tcPr>
          <w:p w14:paraId="0C1914D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10</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1</w:t>
            </w:r>
          </w:p>
        </w:tc>
        <w:tc>
          <w:tcPr>
            <w:tcW w:w="2606" w:type="pct"/>
            <w:tcBorders>
              <w:top w:val="nil"/>
              <w:bottom w:val="nil"/>
            </w:tcBorders>
            <w:noWrap w:val="0"/>
            <w:vAlign w:val="center"/>
          </w:tcPr>
          <w:p w14:paraId="5FC13B7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肽段洗脱试剂</w:t>
            </w:r>
          </w:p>
        </w:tc>
        <w:tc>
          <w:tcPr>
            <w:tcW w:w="699" w:type="pct"/>
            <w:tcBorders>
              <w:top w:val="nil"/>
              <w:bottom w:val="nil"/>
            </w:tcBorders>
            <w:noWrap w:val="0"/>
            <w:vAlign w:val="center"/>
          </w:tcPr>
          <w:p w14:paraId="3F5D598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常温</w:t>
            </w:r>
          </w:p>
        </w:tc>
      </w:tr>
      <w:tr w14:paraId="758DA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71557FA5">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Cartridge</w:t>
            </w:r>
          </w:p>
        </w:tc>
        <w:tc>
          <w:tcPr>
            <w:tcW w:w="941" w:type="pct"/>
            <w:tcBorders>
              <w:top w:val="nil"/>
              <w:bottom w:val="nil"/>
            </w:tcBorders>
            <w:noWrap w:val="0"/>
            <w:vAlign w:val="center"/>
          </w:tcPr>
          <w:p w14:paraId="26C4223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5</w:t>
            </w:r>
            <w:r>
              <w:rPr>
                <w:rFonts w:hint="default" w:ascii="Times New Roman" w:hAnsi="Times New Roman" w:eastAsia="微软雅黑" w:cs="Times New Roman"/>
                <w:b w:val="0"/>
                <w:bCs w:val="0"/>
                <w:sz w:val="18"/>
                <w:szCs w:val="18"/>
                <w:vertAlign w:val="baseline"/>
                <w:lang w:val="en-US" w:eastAsia="zh-CN"/>
              </w:rPr>
              <w:t>0 μg载量*</w:t>
            </w:r>
            <w:r>
              <w:rPr>
                <w:rFonts w:hint="eastAsia" w:ascii="Times New Roman" w:hAnsi="Times New Roman" w:eastAsia="微软雅黑" w:cs="Times New Roman"/>
                <w:b w:val="0"/>
                <w:bCs w:val="0"/>
                <w:sz w:val="18"/>
                <w:szCs w:val="18"/>
                <w:vertAlign w:val="baseline"/>
                <w:lang w:val="en-US" w:eastAsia="zh-CN"/>
              </w:rPr>
              <w:t>24</w:t>
            </w:r>
          </w:p>
        </w:tc>
        <w:tc>
          <w:tcPr>
            <w:tcW w:w="2606" w:type="pct"/>
            <w:tcBorders>
              <w:top w:val="nil"/>
              <w:bottom w:val="nil"/>
            </w:tcBorders>
            <w:noWrap w:val="0"/>
            <w:vAlign w:val="center"/>
          </w:tcPr>
          <w:p w14:paraId="06D1A73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b w:val="0"/>
                <w:bCs w:val="0"/>
                <w:sz w:val="18"/>
                <w:szCs w:val="18"/>
                <w:vertAlign w:val="baseline"/>
                <w:lang w:val="en-US" w:eastAsia="zh-CN"/>
              </w:rPr>
              <w:t>肽段脱盐</w:t>
            </w:r>
          </w:p>
        </w:tc>
        <w:tc>
          <w:tcPr>
            <w:tcW w:w="699" w:type="pct"/>
            <w:tcBorders>
              <w:top w:val="nil"/>
              <w:bottom w:val="nil"/>
            </w:tcBorders>
            <w:noWrap w:val="0"/>
            <w:vAlign w:val="center"/>
          </w:tcPr>
          <w:p w14:paraId="0D2869C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0F5B6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1DBED57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both"/>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 xml:space="preserve">    S板</w:t>
            </w:r>
          </w:p>
        </w:tc>
        <w:tc>
          <w:tcPr>
            <w:tcW w:w="941" w:type="pct"/>
            <w:tcBorders>
              <w:top w:val="nil"/>
              <w:bottom w:val="nil"/>
            </w:tcBorders>
            <w:noWrap w:val="0"/>
            <w:vAlign w:val="center"/>
          </w:tcPr>
          <w:p w14:paraId="396399E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1（96X）</w:t>
            </w:r>
          </w:p>
        </w:tc>
        <w:tc>
          <w:tcPr>
            <w:tcW w:w="2606" w:type="pct"/>
            <w:tcBorders>
              <w:top w:val="nil"/>
              <w:bottom w:val="nil"/>
            </w:tcBorders>
            <w:noWrap w:val="0"/>
            <w:vAlign w:val="center"/>
          </w:tcPr>
          <w:p w14:paraId="72492AE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用于样品的还原烷基化、酶解</w:t>
            </w:r>
          </w:p>
        </w:tc>
        <w:tc>
          <w:tcPr>
            <w:tcW w:w="699" w:type="pct"/>
            <w:tcBorders>
              <w:top w:val="nil"/>
              <w:bottom w:val="nil"/>
            </w:tcBorders>
            <w:noWrap w:val="0"/>
            <w:vAlign w:val="center"/>
          </w:tcPr>
          <w:p w14:paraId="306BB55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常温</w:t>
            </w:r>
          </w:p>
        </w:tc>
      </w:tr>
      <w:tr w14:paraId="622F5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7F18E99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试剂槽</w:t>
            </w:r>
          </w:p>
        </w:tc>
        <w:tc>
          <w:tcPr>
            <w:tcW w:w="941" w:type="pct"/>
            <w:tcBorders>
              <w:top w:val="nil"/>
              <w:bottom w:val="nil"/>
            </w:tcBorders>
            <w:noWrap w:val="0"/>
            <w:vAlign w:val="center"/>
          </w:tcPr>
          <w:p w14:paraId="51B3AE3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1（96X）</w:t>
            </w:r>
          </w:p>
        </w:tc>
        <w:tc>
          <w:tcPr>
            <w:tcW w:w="2606" w:type="pct"/>
            <w:tcBorders>
              <w:top w:val="nil"/>
              <w:bottom w:val="nil"/>
            </w:tcBorders>
            <w:noWrap w:val="0"/>
            <w:vAlign w:val="center"/>
          </w:tcPr>
          <w:p w14:paraId="15ADA22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用于自动化实验过程中试剂的存放</w:t>
            </w:r>
          </w:p>
        </w:tc>
        <w:tc>
          <w:tcPr>
            <w:tcW w:w="699" w:type="pct"/>
            <w:tcBorders>
              <w:top w:val="nil"/>
              <w:bottom w:val="nil"/>
            </w:tcBorders>
            <w:noWrap w:val="0"/>
            <w:vAlign w:val="center"/>
          </w:tcPr>
          <w:p w14:paraId="4CC7659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常温</w:t>
            </w:r>
          </w:p>
        </w:tc>
      </w:tr>
      <w:tr w14:paraId="4EB45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443EF47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Waste 板</w:t>
            </w:r>
          </w:p>
        </w:tc>
        <w:tc>
          <w:tcPr>
            <w:tcW w:w="941" w:type="pct"/>
            <w:tcBorders>
              <w:top w:val="nil"/>
              <w:bottom w:val="nil"/>
            </w:tcBorders>
            <w:noWrap w:val="0"/>
            <w:vAlign w:val="center"/>
          </w:tcPr>
          <w:p w14:paraId="40E07AC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1（96X）</w:t>
            </w:r>
          </w:p>
        </w:tc>
        <w:tc>
          <w:tcPr>
            <w:tcW w:w="2606" w:type="pct"/>
            <w:tcBorders>
              <w:top w:val="nil"/>
              <w:bottom w:val="nil"/>
            </w:tcBorders>
            <w:noWrap w:val="0"/>
            <w:vAlign w:val="center"/>
          </w:tcPr>
          <w:p w14:paraId="5BFFC66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清洗肽段废液收集</w:t>
            </w:r>
          </w:p>
        </w:tc>
        <w:tc>
          <w:tcPr>
            <w:tcW w:w="699" w:type="pct"/>
            <w:tcBorders>
              <w:top w:val="nil"/>
              <w:bottom w:val="nil"/>
            </w:tcBorders>
            <w:noWrap w:val="0"/>
            <w:vAlign w:val="center"/>
          </w:tcPr>
          <w:p w14:paraId="2BDCEC2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常温</w:t>
            </w:r>
          </w:p>
        </w:tc>
      </w:tr>
      <w:tr w14:paraId="0D426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0933EC4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Collection 板</w:t>
            </w:r>
          </w:p>
        </w:tc>
        <w:tc>
          <w:tcPr>
            <w:tcW w:w="941" w:type="pct"/>
            <w:tcBorders>
              <w:top w:val="nil"/>
              <w:bottom w:val="nil"/>
            </w:tcBorders>
            <w:noWrap w:val="0"/>
            <w:vAlign w:val="center"/>
          </w:tcPr>
          <w:p w14:paraId="7370869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1（96X）</w:t>
            </w:r>
          </w:p>
        </w:tc>
        <w:tc>
          <w:tcPr>
            <w:tcW w:w="2606" w:type="pct"/>
            <w:tcBorders>
              <w:top w:val="nil"/>
              <w:bottom w:val="nil"/>
            </w:tcBorders>
            <w:noWrap w:val="0"/>
            <w:vAlign w:val="center"/>
          </w:tcPr>
          <w:p w14:paraId="20F902D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洗脱肽段收集</w:t>
            </w:r>
          </w:p>
        </w:tc>
        <w:tc>
          <w:tcPr>
            <w:tcW w:w="699" w:type="pct"/>
            <w:tcBorders>
              <w:top w:val="nil"/>
              <w:bottom w:val="nil"/>
            </w:tcBorders>
            <w:noWrap w:val="0"/>
            <w:vAlign w:val="center"/>
          </w:tcPr>
          <w:p w14:paraId="5956D57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常温</w:t>
            </w:r>
          </w:p>
        </w:tc>
      </w:tr>
      <w:tr w14:paraId="53403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7207F5F2">
            <w:pPr>
              <w:keepNext w:val="0"/>
              <w:keepLines w:val="0"/>
              <w:pageBreakBefore w:val="0"/>
              <w:widowControl w:val="0"/>
              <w:numPr>
                <w:ilvl w:val="0"/>
                <w:numId w:val="0"/>
              </w:numPr>
              <w:tabs>
                <w:tab w:val="left" w:pos="494"/>
              </w:tabs>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封口膜</w:t>
            </w:r>
          </w:p>
        </w:tc>
        <w:tc>
          <w:tcPr>
            <w:tcW w:w="941" w:type="pct"/>
            <w:tcBorders>
              <w:top w:val="nil"/>
              <w:bottom w:val="nil"/>
            </w:tcBorders>
            <w:noWrap w:val="0"/>
            <w:vAlign w:val="center"/>
          </w:tcPr>
          <w:p w14:paraId="7643B58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1</w:t>
            </w:r>
          </w:p>
        </w:tc>
        <w:tc>
          <w:tcPr>
            <w:tcW w:w="2606" w:type="pct"/>
            <w:tcBorders>
              <w:top w:val="nil"/>
              <w:bottom w:val="nil"/>
            </w:tcBorders>
            <w:noWrap w:val="0"/>
            <w:vAlign w:val="center"/>
          </w:tcPr>
          <w:p w14:paraId="3B3CEC5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96孔板封口</w:t>
            </w:r>
          </w:p>
        </w:tc>
        <w:tc>
          <w:tcPr>
            <w:tcW w:w="699" w:type="pct"/>
            <w:tcBorders>
              <w:top w:val="nil"/>
              <w:bottom w:val="nil"/>
            </w:tcBorders>
            <w:noWrap w:val="0"/>
            <w:vAlign w:val="center"/>
          </w:tcPr>
          <w:p w14:paraId="27FE8CF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常温</w:t>
            </w:r>
          </w:p>
        </w:tc>
      </w:tr>
      <w:tr w14:paraId="665AB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single" w:color="auto" w:sz="4" w:space="0"/>
            </w:tcBorders>
            <w:noWrap w:val="0"/>
            <w:vAlign w:val="center"/>
          </w:tcPr>
          <w:p w14:paraId="0D3C3E04">
            <w:pPr>
              <w:keepNext w:val="0"/>
              <w:keepLines w:val="0"/>
              <w:pageBreakBefore w:val="0"/>
              <w:widowControl w:val="0"/>
              <w:numPr>
                <w:ilvl w:val="0"/>
                <w:numId w:val="0"/>
              </w:numPr>
              <w:tabs>
                <w:tab w:val="left" w:pos="494"/>
              </w:tabs>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枪头</w:t>
            </w:r>
          </w:p>
        </w:tc>
        <w:tc>
          <w:tcPr>
            <w:tcW w:w="941" w:type="pct"/>
            <w:tcBorders>
              <w:top w:val="nil"/>
              <w:bottom w:val="single" w:color="auto" w:sz="4" w:space="0"/>
            </w:tcBorders>
            <w:noWrap w:val="0"/>
            <w:vAlign w:val="center"/>
          </w:tcPr>
          <w:p w14:paraId="6836392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2</w:t>
            </w:r>
          </w:p>
        </w:tc>
        <w:tc>
          <w:tcPr>
            <w:tcW w:w="2606" w:type="pct"/>
            <w:tcBorders>
              <w:top w:val="nil"/>
              <w:bottom w:val="single" w:color="auto" w:sz="4" w:space="0"/>
            </w:tcBorders>
            <w:noWrap w:val="0"/>
            <w:vAlign w:val="center"/>
          </w:tcPr>
          <w:p w14:paraId="2574CA4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实验用枪头</w:t>
            </w:r>
          </w:p>
        </w:tc>
        <w:tc>
          <w:tcPr>
            <w:tcW w:w="699" w:type="pct"/>
            <w:tcBorders>
              <w:top w:val="nil"/>
              <w:bottom w:val="single" w:color="auto" w:sz="4" w:space="0"/>
            </w:tcBorders>
            <w:noWrap w:val="0"/>
            <w:vAlign w:val="center"/>
          </w:tcPr>
          <w:p w14:paraId="7661EC6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常温</w:t>
            </w:r>
          </w:p>
        </w:tc>
      </w:tr>
    </w:tbl>
    <w:p w14:paraId="4D37ED97">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试剂盒简介</w:t>
      </w:r>
    </w:p>
    <w:p w14:paraId="32506208">
      <w:pPr>
        <w:jc w:val="left"/>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样品制备是蛋白质组学实验最重要的步骤之一，合适的前处理过程是实验成功的关键。</w:t>
      </w:r>
    </w:p>
    <w:p w14:paraId="5AAB37F2">
      <w:pPr>
        <w:jc w:val="left"/>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易肽Micro前处理制备试剂盒旨在以较少的样品制备步骤和较短的操作时间获得最佳的实验结果。适用于组织、细胞、体液、菌体等各种样本类型，尤其对于蛋白质组学大队列样本的制备过程充分体现出其高通量、高稳健性的优势。该试剂盒提供蛋白制备包括蛋白变性、还原烷基化、蛋白酶解以及肽段脱盐过程的相关试剂。基于溶液内快速酶解的前处理方法，解决了传统方法样本用量多、试剂成本高、损失大、耗时长的弊端，仅需2-3小时即可完成质谱检测前的所有步骤，且平行性好，以实现微量蛋白的快速制备及蛋白质组深度覆盖检测。</w:t>
      </w:r>
    </w:p>
    <w:p w14:paraId="5A34CB49">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drawing>
          <wp:inline distT="0" distB="0" distL="114300" distR="114300">
            <wp:extent cx="5909945" cy="3292475"/>
            <wp:effectExtent l="0" t="0" r="14605" b="3175"/>
            <wp:docPr id="1" name="图片 12" descr="微量自动化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2" descr="微量自动化1"/>
                    <pic:cNvPicPr>
                      <a:picLocks noChangeAspect="1"/>
                    </pic:cNvPicPr>
                  </pic:nvPicPr>
                  <pic:blipFill>
                    <a:blip r:embed="rId6"/>
                    <a:stretch>
                      <a:fillRect/>
                    </a:stretch>
                  </pic:blipFill>
                  <pic:spPr>
                    <a:xfrm>
                      <a:off x="0" y="0"/>
                      <a:ext cx="5909945" cy="3292475"/>
                    </a:xfrm>
                    <a:prstGeom prst="rect">
                      <a:avLst/>
                    </a:prstGeom>
                    <a:noFill/>
                    <a:ln>
                      <a:noFill/>
                    </a:ln>
                  </pic:spPr>
                </pic:pic>
              </a:graphicData>
            </a:graphic>
          </wp:inline>
        </w:drawing>
      </w:r>
    </w:p>
    <w:p w14:paraId="1424540C">
      <w:pPr>
        <w:jc w:val="left"/>
        <w:rPr>
          <w:rFonts w:hint="eastAsia" w:ascii="Times New Roman" w:hAnsi="Times New Roman" w:eastAsia="微软雅黑" w:cs="Times New Roman"/>
          <w:sz w:val="18"/>
          <w:szCs w:val="18"/>
          <w:lang w:val="en-US" w:eastAsia="zh-CN"/>
        </w:rPr>
      </w:pPr>
    </w:p>
    <w:p w14:paraId="2DE6B235">
      <w:pPr>
        <w:numPr>
          <w:ilvl w:val="0"/>
          <w:numId w:val="1"/>
        </w:numPr>
        <w:spacing w:line="240" w:lineRule="auto"/>
        <w:ind w:left="0" w:leftChars="0" w:firstLine="0" w:firstLineChars="0"/>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需要准备的</w:t>
      </w:r>
      <w:r>
        <w:rPr>
          <w:rFonts w:hint="eastAsia" w:ascii="微软雅黑" w:hAnsi="微软雅黑" w:eastAsia="微软雅黑" w:cs="微软雅黑"/>
          <w:b/>
          <w:bCs/>
          <w:sz w:val="21"/>
          <w:szCs w:val="21"/>
          <w:lang w:val="en-US" w:eastAsia="zh-CN"/>
        </w:rPr>
        <w:t>设备</w:t>
      </w:r>
      <w:r>
        <w:rPr>
          <w:rFonts w:hint="eastAsia" w:ascii="微软雅黑" w:hAnsi="微软雅黑" w:eastAsia="微软雅黑" w:cs="微软雅黑"/>
          <w:b/>
          <w:bCs/>
          <w:sz w:val="21"/>
          <w:szCs w:val="21"/>
        </w:rPr>
        <w:t>耗材</w:t>
      </w:r>
    </w:p>
    <w:tbl>
      <w:tblPr>
        <w:tblStyle w:val="6"/>
        <w:tblW w:w="499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77"/>
        <w:gridCol w:w="1447"/>
        <w:gridCol w:w="6206"/>
      </w:tblGrid>
      <w:tr w14:paraId="31CC6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84" w:type="pct"/>
            <w:tcBorders>
              <w:top w:val="single" w:color="auto" w:sz="6" w:space="0"/>
              <w:bottom w:val="single" w:color="auto" w:sz="4" w:space="0"/>
            </w:tcBorders>
            <w:noWrap w:val="0"/>
            <w:vAlign w:val="center"/>
          </w:tcPr>
          <w:p w14:paraId="604C4EE3">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设备名称</w:t>
            </w:r>
          </w:p>
        </w:tc>
        <w:tc>
          <w:tcPr>
            <w:tcW w:w="759" w:type="pct"/>
            <w:tcBorders>
              <w:top w:val="single" w:color="auto" w:sz="6" w:space="0"/>
              <w:bottom w:val="single" w:color="auto" w:sz="4" w:space="0"/>
            </w:tcBorders>
            <w:noWrap w:val="0"/>
            <w:vAlign w:val="center"/>
          </w:tcPr>
          <w:p w14:paraId="08B594C0">
            <w:pPr>
              <w:spacing w:line="240" w:lineRule="auto"/>
              <w:jc w:val="center"/>
              <w:rPr>
                <w:rFonts w:ascii="Times New Roman" w:hAnsi="Times New Roman" w:eastAsia="微软雅黑" w:cs="Times New Roman"/>
                <w:b/>
                <w:bCs/>
                <w:sz w:val="18"/>
                <w:szCs w:val="18"/>
              </w:rPr>
            </w:pPr>
          </w:p>
        </w:tc>
        <w:tc>
          <w:tcPr>
            <w:tcW w:w="3256" w:type="pct"/>
            <w:tcBorders>
              <w:top w:val="single" w:color="auto" w:sz="6" w:space="0"/>
              <w:bottom w:val="single" w:color="auto" w:sz="4" w:space="0"/>
            </w:tcBorders>
            <w:noWrap w:val="0"/>
            <w:vAlign w:val="center"/>
          </w:tcPr>
          <w:p w14:paraId="5FD8BDAD">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简    介</w:t>
            </w:r>
          </w:p>
        </w:tc>
      </w:tr>
      <w:tr w14:paraId="3685E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84" w:type="pct"/>
            <w:tcBorders>
              <w:top w:val="single" w:color="auto" w:sz="4" w:space="0"/>
              <w:bottom w:val="nil"/>
            </w:tcBorders>
            <w:noWrap w:val="0"/>
            <w:vAlign w:val="center"/>
          </w:tcPr>
          <w:p w14:paraId="6CCEF128">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移液器</w:t>
            </w:r>
          </w:p>
        </w:tc>
        <w:tc>
          <w:tcPr>
            <w:tcW w:w="759" w:type="pct"/>
            <w:tcBorders>
              <w:top w:val="single" w:color="auto" w:sz="4" w:space="0"/>
              <w:bottom w:val="nil"/>
            </w:tcBorders>
            <w:noWrap w:val="0"/>
            <w:vAlign w:val="center"/>
          </w:tcPr>
          <w:p w14:paraId="366A4AF2">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381000" cy="495300"/>
                  <wp:effectExtent l="0" t="0" r="0" b="0"/>
                  <wp:docPr id="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pic:cNvPicPr>
                            <a:picLocks noChangeAspect="1"/>
                          </pic:cNvPicPr>
                        </pic:nvPicPr>
                        <pic:blipFill>
                          <a:blip r:embed="rId7"/>
                          <a:stretch>
                            <a:fillRect/>
                          </a:stretch>
                        </pic:blipFill>
                        <pic:spPr>
                          <a:xfrm>
                            <a:off x="0" y="0"/>
                            <a:ext cx="381000" cy="495300"/>
                          </a:xfrm>
                          <a:prstGeom prst="rect">
                            <a:avLst/>
                          </a:prstGeom>
                          <a:noFill/>
                          <a:ln>
                            <a:noFill/>
                          </a:ln>
                        </pic:spPr>
                      </pic:pic>
                    </a:graphicData>
                  </a:graphic>
                </wp:inline>
              </w:drawing>
            </w:r>
          </w:p>
        </w:tc>
        <w:tc>
          <w:tcPr>
            <w:tcW w:w="3256" w:type="pct"/>
            <w:tcBorders>
              <w:top w:val="single" w:color="auto" w:sz="4" w:space="0"/>
              <w:bottom w:val="nil"/>
            </w:tcBorders>
            <w:noWrap w:val="0"/>
            <w:vAlign w:val="center"/>
          </w:tcPr>
          <w:p w14:paraId="16792034">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吸取蛋白提取过程中的蛋白上清，减少污染物，提高蛋白定量准确度</w:t>
            </w:r>
          </w:p>
        </w:tc>
      </w:tr>
      <w:tr w14:paraId="681B1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84" w:type="pct"/>
            <w:tcBorders>
              <w:top w:val="nil"/>
              <w:bottom w:val="nil"/>
            </w:tcBorders>
            <w:noWrap w:val="0"/>
            <w:vAlign w:val="center"/>
          </w:tcPr>
          <w:p w14:paraId="435026BF">
            <w:pPr>
              <w:spacing w:line="240" w:lineRule="auto"/>
              <w:jc w:val="center"/>
              <w:rPr>
                <w:rFonts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高通量组织研磨仪</w:t>
            </w:r>
          </w:p>
        </w:tc>
        <w:tc>
          <w:tcPr>
            <w:tcW w:w="759" w:type="pct"/>
            <w:tcBorders>
              <w:top w:val="nil"/>
              <w:bottom w:val="nil"/>
            </w:tcBorders>
            <w:noWrap w:val="0"/>
            <w:vAlign w:val="center"/>
          </w:tcPr>
          <w:p w14:paraId="08C52DD6">
            <w:pPr>
              <w:spacing w:line="240" w:lineRule="auto"/>
              <w:jc w:val="center"/>
              <w:rPr>
                <w:rFonts w:hint="eastAsia" w:ascii="Times New Roman" w:hAnsi="Times New Roman" w:eastAsia="微软雅黑" w:cs="Times New Roman"/>
                <w:sz w:val="18"/>
                <w:szCs w:val="18"/>
                <w:lang w:eastAsia="zh-CN"/>
              </w:rPr>
            </w:pPr>
            <w:r>
              <w:drawing>
                <wp:inline distT="0" distB="0" distL="114300" distR="114300">
                  <wp:extent cx="423545" cy="753110"/>
                  <wp:effectExtent l="0" t="0" r="14605" b="8890"/>
                  <wp:docPr id="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pic:cNvPicPr>
                            <a:picLocks noChangeAspect="1"/>
                          </pic:cNvPicPr>
                        </pic:nvPicPr>
                        <pic:blipFill>
                          <a:blip r:embed="rId8"/>
                          <a:stretch>
                            <a:fillRect/>
                          </a:stretch>
                        </pic:blipFill>
                        <pic:spPr>
                          <a:xfrm>
                            <a:off x="0" y="0"/>
                            <a:ext cx="423545" cy="753110"/>
                          </a:xfrm>
                          <a:prstGeom prst="rect">
                            <a:avLst/>
                          </a:prstGeom>
                          <a:noFill/>
                          <a:ln>
                            <a:noFill/>
                          </a:ln>
                        </pic:spPr>
                      </pic:pic>
                    </a:graphicData>
                  </a:graphic>
                </wp:inline>
              </w:drawing>
            </w:r>
          </w:p>
        </w:tc>
        <w:tc>
          <w:tcPr>
            <w:tcW w:w="3256" w:type="pct"/>
            <w:tcBorders>
              <w:top w:val="nil"/>
              <w:bottom w:val="nil"/>
            </w:tcBorders>
            <w:noWrap w:val="0"/>
            <w:vAlign w:val="center"/>
          </w:tcPr>
          <w:p w14:paraId="20F2B254">
            <w:pPr>
              <w:spacing w:line="240" w:lineRule="auto"/>
              <w:jc w:val="left"/>
              <w:rPr>
                <w:rFonts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不同组织样本的破碎，抽提蛋白质</w:t>
            </w:r>
          </w:p>
        </w:tc>
      </w:tr>
      <w:tr w14:paraId="4D8D2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84" w:type="pct"/>
            <w:tcBorders>
              <w:top w:val="nil"/>
              <w:bottom w:val="nil"/>
            </w:tcBorders>
            <w:noWrap w:val="0"/>
            <w:vAlign w:val="center"/>
          </w:tcPr>
          <w:p w14:paraId="52A3B93A">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冷冻离心机</w:t>
            </w:r>
          </w:p>
        </w:tc>
        <w:tc>
          <w:tcPr>
            <w:tcW w:w="759" w:type="pct"/>
            <w:tcBorders>
              <w:top w:val="nil"/>
              <w:bottom w:val="nil"/>
            </w:tcBorders>
            <w:noWrap w:val="0"/>
            <w:vAlign w:val="center"/>
          </w:tcPr>
          <w:p w14:paraId="7A84BDC2">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533400" cy="723900"/>
                  <wp:effectExtent l="0" t="0" r="0" b="0"/>
                  <wp:docPr id="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3"/>
                          <pic:cNvPicPr>
                            <a:picLocks noChangeAspect="1"/>
                          </pic:cNvPicPr>
                        </pic:nvPicPr>
                        <pic:blipFill>
                          <a:blip r:embed="rId9"/>
                          <a:stretch>
                            <a:fillRect/>
                          </a:stretch>
                        </pic:blipFill>
                        <pic:spPr>
                          <a:xfrm>
                            <a:off x="0" y="0"/>
                            <a:ext cx="533400" cy="723900"/>
                          </a:xfrm>
                          <a:prstGeom prst="rect">
                            <a:avLst/>
                          </a:prstGeom>
                          <a:noFill/>
                          <a:ln>
                            <a:noFill/>
                          </a:ln>
                        </pic:spPr>
                      </pic:pic>
                    </a:graphicData>
                  </a:graphic>
                </wp:inline>
              </w:drawing>
            </w:r>
          </w:p>
        </w:tc>
        <w:tc>
          <w:tcPr>
            <w:tcW w:w="3256" w:type="pct"/>
            <w:tcBorders>
              <w:top w:val="nil"/>
              <w:bottom w:val="nil"/>
            </w:tcBorders>
            <w:noWrap w:val="0"/>
            <w:vAlign w:val="center"/>
          </w:tcPr>
          <w:p w14:paraId="76065E07">
            <w:pPr>
              <w:spacing w:line="240" w:lineRule="auto"/>
              <w:jc w:val="left"/>
              <w:rPr>
                <w:rFonts w:hint="default" w:ascii="Times New Roman" w:hAnsi="Times New Roman" w:eastAsia="微软雅黑" w:cs="Times New Roman"/>
                <w:sz w:val="18"/>
                <w:szCs w:val="18"/>
                <w:lang w:val="en-US" w:eastAsia="zh-CN"/>
              </w:rPr>
            </w:pPr>
            <w:r>
              <w:rPr>
                <w:rFonts w:ascii="Times New Roman" w:hAnsi="Times New Roman" w:eastAsia="微软雅黑" w:cs="Times New Roman"/>
                <w:sz w:val="18"/>
                <w:szCs w:val="18"/>
              </w:rPr>
              <w:t>冷冻离心机用于蛋白提取</w:t>
            </w:r>
          </w:p>
        </w:tc>
      </w:tr>
      <w:tr w14:paraId="16DB2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984" w:type="pct"/>
            <w:tcBorders>
              <w:top w:val="nil"/>
              <w:bottom w:val="single" w:color="auto" w:sz="4" w:space="0"/>
            </w:tcBorders>
            <w:noWrap w:val="0"/>
            <w:vAlign w:val="center"/>
          </w:tcPr>
          <w:p w14:paraId="7BA409C5">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真空离心浓缩仪</w:t>
            </w:r>
          </w:p>
        </w:tc>
        <w:tc>
          <w:tcPr>
            <w:tcW w:w="759" w:type="pct"/>
            <w:tcBorders>
              <w:top w:val="nil"/>
              <w:bottom w:val="single" w:color="auto" w:sz="4" w:space="0"/>
            </w:tcBorders>
            <w:noWrap w:val="0"/>
            <w:vAlign w:val="center"/>
          </w:tcPr>
          <w:p w14:paraId="4BBE0BC0">
            <w:pPr>
              <w:spacing w:line="240" w:lineRule="auto"/>
              <w:jc w:val="left"/>
              <w:rPr>
                <w:rFonts w:ascii="Times New Roman" w:hAnsi="Times New Roman" w:eastAsia="微软雅黑" w:cs="Times New Roman"/>
                <w:sz w:val="18"/>
                <w:szCs w:val="18"/>
              </w:rPr>
            </w:pPr>
            <w:r>
              <w:drawing>
                <wp:inline distT="0" distB="0" distL="114300" distR="114300">
                  <wp:extent cx="759460" cy="937895"/>
                  <wp:effectExtent l="0" t="0" r="2540" b="14605"/>
                  <wp:docPr id="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1"/>
                          <pic:cNvPicPr>
                            <a:picLocks noChangeAspect="1"/>
                          </pic:cNvPicPr>
                        </pic:nvPicPr>
                        <pic:blipFill>
                          <a:blip r:embed="rId10"/>
                          <a:stretch>
                            <a:fillRect/>
                          </a:stretch>
                        </pic:blipFill>
                        <pic:spPr>
                          <a:xfrm>
                            <a:off x="0" y="0"/>
                            <a:ext cx="759460" cy="937895"/>
                          </a:xfrm>
                          <a:prstGeom prst="rect">
                            <a:avLst/>
                          </a:prstGeom>
                          <a:noFill/>
                          <a:ln>
                            <a:noFill/>
                          </a:ln>
                        </pic:spPr>
                      </pic:pic>
                    </a:graphicData>
                  </a:graphic>
                </wp:inline>
              </w:drawing>
            </w:r>
          </w:p>
        </w:tc>
        <w:tc>
          <w:tcPr>
            <w:tcW w:w="3256" w:type="pct"/>
            <w:tcBorders>
              <w:top w:val="nil"/>
              <w:bottom w:val="single" w:color="auto" w:sz="4" w:space="0"/>
            </w:tcBorders>
            <w:noWrap w:val="0"/>
            <w:vAlign w:val="center"/>
          </w:tcPr>
          <w:p w14:paraId="219093DD">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脱盐后的肽段抽干</w:t>
            </w:r>
          </w:p>
        </w:tc>
      </w:tr>
    </w:tbl>
    <w:p w14:paraId="30547BBE">
      <w:pPr>
        <w:spacing w:line="240" w:lineRule="auto"/>
        <w:rPr>
          <w:rFonts w:hint="default" w:ascii="Times New Roman" w:hAnsi="Times New Roman" w:eastAsia="微软雅黑" w:cs="Times New Roman"/>
          <w:color w:val="FF0000"/>
          <w:kern w:val="0"/>
          <w:sz w:val="21"/>
          <w:szCs w:val="21"/>
          <w:lang w:bidi="ar"/>
        </w:rPr>
      </w:pPr>
      <w:r>
        <w:rPr>
          <w:rFonts w:hint="eastAsia" w:ascii="Times New Roman" w:hAnsi="Times New Roman" w:eastAsia="微软雅黑" w:cs="Times New Roman"/>
          <w:b/>
          <w:bCs/>
          <w:sz w:val="21"/>
          <w:szCs w:val="21"/>
          <w:lang w:val="en-US" w:eastAsia="zh-CN"/>
        </w:rPr>
        <w:t>4</w:t>
      </w:r>
      <w:r>
        <w:rPr>
          <w:rFonts w:hint="default" w:ascii="Times New Roman" w:hAnsi="Times New Roman" w:eastAsia="微软雅黑" w:cs="Times New Roman"/>
          <w:b/>
          <w:bCs/>
          <w:sz w:val="21"/>
          <w:szCs w:val="21"/>
        </w:rPr>
        <w:t>. 操作过程</w:t>
      </w:r>
    </w:p>
    <w:p w14:paraId="611EAA61">
      <w:pPr>
        <w:spacing w:line="240" w:lineRule="auto"/>
        <w:rPr>
          <w:rFonts w:hint="default" w:ascii="Times New Roman" w:hAnsi="Times New Roman" w:eastAsia="微软雅黑" w:cs="Times New Roman"/>
          <w:b/>
          <w:bCs/>
          <w:sz w:val="21"/>
          <w:szCs w:val="21"/>
          <w:lang w:val="en-US" w:eastAsia="zh-CN"/>
        </w:rPr>
      </w:pPr>
      <w:r>
        <w:rPr>
          <w:rFonts w:hint="eastAsia" w:ascii="Times New Roman" w:hAnsi="Times New Roman" w:eastAsia="微软雅黑" w:cs="Times New Roman"/>
          <w:b/>
          <w:bCs/>
          <w:sz w:val="21"/>
          <w:szCs w:val="21"/>
          <w:lang w:val="en-US" w:eastAsia="zh-CN"/>
        </w:rPr>
        <w:t>4</w:t>
      </w:r>
      <w:r>
        <w:rPr>
          <w:rFonts w:hint="default" w:ascii="Times New Roman" w:hAnsi="Times New Roman" w:eastAsia="微软雅黑" w:cs="Times New Roman"/>
          <w:b/>
          <w:bCs/>
          <w:sz w:val="21"/>
          <w:szCs w:val="21"/>
          <w:lang w:val="en-US" w:eastAsia="zh-CN"/>
        </w:rPr>
        <w:t>.1 蛋白提取</w:t>
      </w:r>
    </w:p>
    <w:p w14:paraId="3136B17B">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对于细胞样本，细胞沉淀</w:t>
      </w:r>
      <w:r>
        <w:rPr>
          <w:rFonts w:hint="eastAsia" w:ascii="Times New Roman" w:hAnsi="Times New Roman" w:eastAsia="微软雅黑" w:cs="Times New Roman"/>
          <w:color w:val="000000"/>
          <w:kern w:val="0"/>
          <w:sz w:val="21"/>
          <w:szCs w:val="21"/>
          <w:lang w:val="en-US" w:eastAsia="zh-CN" w:bidi="ar"/>
        </w:rPr>
        <w:t>中</w:t>
      </w:r>
      <w:r>
        <w:rPr>
          <w:rFonts w:hint="default" w:ascii="Times New Roman" w:hAnsi="Times New Roman" w:eastAsia="微软雅黑" w:cs="Times New Roman"/>
          <w:color w:val="000000"/>
          <w:kern w:val="0"/>
          <w:sz w:val="21"/>
          <w:szCs w:val="21"/>
          <w:lang w:val="en-US" w:eastAsia="zh-CN" w:bidi="ar"/>
        </w:rPr>
        <w:t>加入适量试剂 0（建议细胞量不要超过1E6。参考体积比，细胞沉淀：试剂0约 1:5）涡旋混匀，</w:t>
      </w:r>
      <w:r>
        <w:rPr>
          <w:rFonts w:hint="default" w:ascii="Times New Roman" w:hAnsi="Times New Roman" w:eastAsia="微软雅黑" w:cs="Times New Roman"/>
          <w:color w:val="000000"/>
          <w:kern w:val="0"/>
          <w:sz w:val="21"/>
          <w:szCs w:val="21"/>
          <w:highlight w:val="none"/>
          <w:lang w:val="en-US" w:eastAsia="zh-CN" w:bidi="ar"/>
        </w:rPr>
        <w:t>200μl</w:t>
      </w:r>
      <w:r>
        <w:rPr>
          <w:rFonts w:hint="default" w:ascii="Times New Roman" w:hAnsi="Times New Roman" w:eastAsia="微软雅黑" w:cs="Times New Roman"/>
          <w:color w:val="000000"/>
          <w:kern w:val="0"/>
          <w:sz w:val="21"/>
          <w:szCs w:val="21"/>
          <w:lang w:val="en-US" w:eastAsia="zh-CN" w:bidi="ar"/>
        </w:rPr>
        <w:t>枪头反复吹打15-20次，</w:t>
      </w:r>
      <w:r>
        <w:rPr>
          <w:rFonts w:hint="default" w:ascii="Times New Roman" w:hAnsi="Times New Roman" w:eastAsia="微软雅黑" w:cs="Times New Roman"/>
          <w:color w:val="auto"/>
          <w:kern w:val="0"/>
          <w:sz w:val="21"/>
          <w:szCs w:val="21"/>
          <w:lang w:val="en-US" w:eastAsia="zh-CN" w:bidi="ar"/>
        </w:rPr>
        <w:t>金属浴95℃加热</w:t>
      </w:r>
      <w:r>
        <w:rPr>
          <w:rFonts w:hint="eastAsia" w:ascii="Times New Roman" w:hAnsi="Times New Roman" w:eastAsia="微软雅黑" w:cs="Times New Roman"/>
          <w:color w:val="auto"/>
          <w:kern w:val="0"/>
          <w:sz w:val="21"/>
          <w:szCs w:val="21"/>
          <w:lang w:val="en-US" w:eastAsia="zh-CN" w:bidi="ar"/>
        </w:rPr>
        <w:t>5</w:t>
      </w:r>
      <w:r>
        <w:rPr>
          <w:rFonts w:hint="default" w:ascii="Times New Roman" w:hAnsi="Times New Roman" w:eastAsia="微软雅黑" w:cs="Times New Roman"/>
          <w:color w:val="auto"/>
          <w:kern w:val="0"/>
          <w:sz w:val="21"/>
          <w:szCs w:val="21"/>
          <w:lang w:val="en-US" w:eastAsia="zh-CN" w:bidi="ar"/>
        </w:rPr>
        <w:t>min（95℃，1000</w:t>
      </w:r>
      <w:r>
        <w:rPr>
          <w:rFonts w:hint="eastAsia" w:ascii="Times New Roman" w:hAnsi="Times New Roman" w:eastAsia="微软雅黑" w:cs="Times New Roman"/>
          <w:color w:val="auto"/>
          <w:kern w:val="0"/>
          <w:sz w:val="21"/>
          <w:szCs w:val="21"/>
          <w:lang w:val="en-US" w:eastAsia="zh-CN" w:bidi="ar"/>
        </w:rPr>
        <w:t xml:space="preserve"> </w:t>
      </w:r>
      <w:r>
        <w:rPr>
          <w:rFonts w:hint="default" w:ascii="Times New Roman" w:hAnsi="Times New Roman" w:eastAsia="微软雅黑" w:cs="Times New Roman"/>
          <w:color w:val="auto"/>
          <w:kern w:val="0"/>
          <w:sz w:val="21"/>
          <w:szCs w:val="21"/>
          <w:lang w:val="en-US" w:eastAsia="zh-CN" w:bidi="ar"/>
        </w:rPr>
        <w:t>rpm）</w:t>
      </w:r>
      <w:r>
        <w:rPr>
          <w:rFonts w:hint="default" w:ascii="Times New Roman" w:hAnsi="Times New Roman" w:eastAsia="微软雅黑" w:cs="Times New Roman"/>
          <w:color w:val="000000"/>
          <w:kern w:val="0"/>
          <w:sz w:val="21"/>
          <w:szCs w:val="21"/>
          <w:lang w:val="en-US" w:eastAsia="zh-CN" w:bidi="ar"/>
        </w:rPr>
        <w:t>；</w:t>
      </w:r>
    </w:p>
    <w:p w14:paraId="4B32EED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FF0000"/>
          <w:kern w:val="0"/>
          <w:sz w:val="21"/>
          <w:szCs w:val="21"/>
          <w:lang w:val="en-US" w:eastAsia="zh-CN" w:bidi="ar"/>
        </w:rPr>
        <w:t>注：样品出现粘稠时使用超声波细胞破碎仪冰上超声2 min （25-30Hz ,每10s停10s）；</w:t>
      </w:r>
    </w:p>
    <w:p w14:paraId="0946014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20"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对于组织样本，取适量组织样品加入试剂0（按1：8的比例加入试剂0，即25mg组织加入200</w:t>
      </w:r>
      <w:r>
        <w:rPr>
          <w:rFonts w:hint="default" w:ascii="Times New Roman" w:hAnsi="Times New Roman" w:eastAsia="微软雅黑" w:cs="Times New Roman"/>
          <w:color w:val="000000"/>
          <w:kern w:val="0"/>
          <w:sz w:val="21"/>
          <w:szCs w:val="21"/>
          <w:highlight w:val="none"/>
          <w:lang w:val="en-US" w:eastAsia="zh-CN" w:bidi="ar"/>
        </w:rPr>
        <w:t>μl</w:t>
      </w:r>
      <w:r>
        <w:rPr>
          <w:rFonts w:hint="default" w:ascii="Times New Roman" w:hAnsi="Times New Roman" w:eastAsia="微软雅黑" w:cs="Times New Roman"/>
          <w:color w:val="000000"/>
          <w:kern w:val="0"/>
          <w:sz w:val="21"/>
          <w:szCs w:val="21"/>
          <w:lang w:val="en-US" w:eastAsia="zh-CN" w:bidi="ar"/>
        </w:rPr>
        <w:t>试剂0），高通量组织研磨仪震荡研磨3次，</w:t>
      </w:r>
      <w:r>
        <w:rPr>
          <w:rFonts w:hint="default" w:ascii="Times New Roman" w:hAnsi="Times New Roman" w:eastAsia="微软雅黑" w:cs="Times New Roman"/>
          <w:color w:val="auto"/>
          <w:kern w:val="0"/>
          <w:sz w:val="21"/>
          <w:szCs w:val="21"/>
          <w:lang w:val="en-US" w:eastAsia="zh-CN" w:bidi="ar"/>
        </w:rPr>
        <w:t>金属浴95℃加热</w:t>
      </w:r>
      <w:r>
        <w:rPr>
          <w:rFonts w:hint="eastAsia" w:ascii="Times New Roman" w:hAnsi="Times New Roman" w:eastAsia="微软雅黑" w:cs="Times New Roman"/>
          <w:color w:val="auto"/>
          <w:kern w:val="0"/>
          <w:sz w:val="21"/>
          <w:szCs w:val="21"/>
          <w:lang w:val="en-US" w:eastAsia="zh-CN" w:bidi="ar"/>
        </w:rPr>
        <w:t>5</w:t>
      </w:r>
      <w:r>
        <w:rPr>
          <w:rFonts w:hint="default" w:ascii="Times New Roman" w:hAnsi="Times New Roman" w:eastAsia="微软雅黑" w:cs="Times New Roman"/>
          <w:color w:val="auto"/>
          <w:kern w:val="0"/>
          <w:sz w:val="21"/>
          <w:szCs w:val="21"/>
          <w:lang w:val="en-US" w:eastAsia="zh-CN" w:bidi="ar"/>
        </w:rPr>
        <w:t>min（95℃，1000</w:t>
      </w:r>
      <w:r>
        <w:rPr>
          <w:rFonts w:hint="eastAsia" w:ascii="Times New Roman" w:hAnsi="Times New Roman" w:eastAsia="微软雅黑" w:cs="Times New Roman"/>
          <w:color w:val="auto"/>
          <w:kern w:val="0"/>
          <w:sz w:val="21"/>
          <w:szCs w:val="21"/>
          <w:lang w:val="en-US" w:eastAsia="zh-CN" w:bidi="ar"/>
        </w:rPr>
        <w:t xml:space="preserve"> </w:t>
      </w:r>
      <w:r>
        <w:rPr>
          <w:rFonts w:hint="default" w:ascii="Times New Roman" w:hAnsi="Times New Roman" w:eastAsia="微软雅黑" w:cs="Times New Roman"/>
          <w:color w:val="auto"/>
          <w:kern w:val="0"/>
          <w:sz w:val="21"/>
          <w:szCs w:val="21"/>
          <w:lang w:val="en-US" w:eastAsia="zh-CN" w:bidi="ar"/>
        </w:rPr>
        <w:t>rpm）</w:t>
      </w:r>
      <w:r>
        <w:rPr>
          <w:rFonts w:hint="default" w:ascii="Times New Roman" w:hAnsi="Times New Roman" w:eastAsia="微软雅黑" w:cs="Times New Roman"/>
          <w:color w:val="000000"/>
          <w:kern w:val="0"/>
          <w:sz w:val="21"/>
          <w:szCs w:val="21"/>
          <w:lang w:val="en-US" w:eastAsia="zh-CN" w:bidi="ar"/>
        </w:rPr>
        <w:t>；</w:t>
      </w:r>
    </w:p>
    <w:p w14:paraId="7D1EF10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20"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对于血液样本，可直接取0.5</w:t>
      </w:r>
      <w:r>
        <w:rPr>
          <w:rFonts w:hint="default" w:ascii="Times New Roman" w:hAnsi="Times New Roman" w:eastAsia="微软雅黑" w:cs="Times New Roman"/>
          <w:color w:val="000000"/>
          <w:kern w:val="0"/>
          <w:sz w:val="21"/>
          <w:szCs w:val="21"/>
          <w:highlight w:val="none"/>
          <w:lang w:val="en-US" w:eastAsia="zh-CN" w:bidi="ar"/>
        </w:rPr>
        <w:t>μl</w:t>
      </w:r>
      <w:r>
        <w:rPr>
          <w:rFonts w:hint="default" w:ascii="Times New Roman" w:hAnsi="Times New Roman" w:eastAsia="微软雅黑" w:cs="Times New Roman"/>
          <w:color w:val="000000"/>
          <w:kern w:val="0"/>
          <w:sz w:val="21"/>
          <w:szCs w:val="21"/>
          <w:lang w:val="en-US" w:eastAsia="zh-CN" w:bidi="ar"/>
        </w:rPr>
        <w:t>血液样本进行</w:t>
      </w:r>
      <w:r>
        <w:rPr>
          <w:rFonts w:hint="eastAsia" w:ascii="Times New Roman" w:hAnsi="Times New Roman" w:eastAsia="微软雅黑" w:cs="Times New Roman"/>
          <w:color w:val="000000"/>
          <w:kern w:val="0"/>
          <w:sz w:val="21"/>
          <w:szCs w:val="21"/>
          <w:lang w:val="en-US" w:eastAsia="zh-CN" w:bidi="ar"/>
        </w:rPr>
        <w:t>4</w:t>
      </w:r>
      <w:r>
        <w:rPr>
          <w:rFonts w:hint="default" w:ascii="Times New Roman" w:hAnsi="Times New Roman" w:eastAsia="微软雅黑" w:cs="Times New Roman"/>
          <w:color w:val="000000"/>
          <w:kern w:val="0"/>
          <w:sz w:val="21"/>
          <w:szCs w:val="21"/>
          <w:lang w:val="en-US" w:eastAsia="zh-CN" w:bidi="ar"/>
        </w:rPr>
        <w:t>.2 步骤a的操作；</w:t>
      </w:r>
    </w:p>
    <w:p w14:paraId="5FC9A99A">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4℃，12000g 离心 20min，取上清；</w:t>
      </w:r>
    </w:p>
    <w:p w14:paraId="65C95912">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上清进行 BCA 蛋白定量；</w:t>
      </w:r>
    </w:p>
    <w:p w14:paraId="208AF9C2">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b w:val="0"/>
          <w:bCs w:val="0"/>
          <w:sz w:val="21"/>
          <w:szCs w:val="21"/>
          <w:lang w:val="en-US" w:eastAsia="zh-CN"/>
        </w:rPr>
      </w:pPr>
      <w:r>
        <w:rPr>
          <w:rFonts w:hint="default" w:ascii="Times New Roman" w:hAnsi="Times New Roman" w:eastAsia="微软雅黑" w:cs="Times New Roman"/>
          <w:b w:val="0"/>
          <w:bCs w:val="0"/>
          <w:color w:val="000000"/>
          <w:kern w:val="0"/>
          <w:sz w:val="21"/>
          <w:szCs w:val="21"/>
          <w:lang w:val="en-US" w:eastAsia="zh-CN" w:bidi="ar"/>
        </w:rPr>
        <w:t>根据定量结果，建议取1-30μg 蛋白样品进行后续操作。</w:t>
      </w:r>
    </w:p>
    <w:p w14:paraId="08ED1A9F">
      <w:pPr>
        <w:spacing w:line="240" w:lineRule="auto"/>
        <w:rPr>
          <w:rFonts w:hint="default"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hint="default" w:ascii="Times New Roman" w:hAnsi="Times New Roman" w:eastAsia="微软雅黑" w:cs="Times New Roman"/>
          <w:b/>
          <w:bCs/>
          <w:sz w:val="21"/>
          <w:szCs w:val="21"/>
        </w:rPr>
        <w:t>.</w:t>
      </w:r>
      <w:r>
        <w:rPr>
          <w:rFonts w:hint="default" w:ascii="Times New Roman" w:hAnsi="Times New Roman" w:eastAsia="微软雅黑" w:cs="Times New Roman"/>
          <w:b/>
          <w:bCs/>
          <w:sz w:val="21"/>
          <w:szCs w:val="21"/>
          <w:lang w:val="en-US" w:eastAsia="zh-CN"/>
        </w:rPr>
        <w:t>2</w:t>
      </w:r>
      <w:r>
        <w:rPr>
          <w:rFonts w:hint="default" w:ascii="Times New Roman" w:hAnsi="Times New Roman" w:eastAsia="微软雅黑" w:cs="Times New Roman"/>
          <w:b/>
          <w:bCs/>
          <w:sz w:val="21"/>
          <w:szCs w:val="21"/>
        </w:rPr>
        <w:t xml:space="preserve"> 蛋白酶解</w:t>
      </w:r>
    </w:p>
    <w:p w14:paraId="6CFF3795">
      <w:pPr>
        <w:keepNext w:val="0"/>
        <w:keepLines w:val="0"/>
        <w:pageBreakBefore w:val="0"/>
        <w:widowControl w:val="0"/>
        <w:numPr>
          <w:ilvl w:val="0"/>
          <w:numId w:val="3"/>
        </w:numPr>
        <w:kinsoku/>
        <w:wordWrap/>
        <w:overflowPunct/>
        <w:topLinePunct w:val="0"/>
        <w:autoSpaceDE/>
        <w:autoSpaceDN/>
        <w:bidi w:val="0"/>
        <w:adjustRightInd/>
        <w:snapToGrid/>
        <w:spacing w:before="157" w:beforeLines="50" w:after="157" w:afterLines="50" w:line="400" w:lineRule="exact"/>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步骤</w:t>
      </w:r>
      <w:r>
        <w:rPr>
          <w:rFonts w:hint="eastAsia" w:ascii="Times New Roman" w:hAnsi="Times New Roman" w:eastAsia="微软雅黑" w:cs="Times New Roman"/>
          <w:color w:val="000000"/>
          <w:kern w:val="0"/>
          <w:sz w:val="21"/>
          <w:szCs w:val="21"/>
          <w:lang w:val="en-US" w:eastAsia="zh-CN" w:bidi="ar"/>
        </w:rPr>
        <w:t>4</w:t>
      </w:r>
      <w:r>
        <w:rPr>
          <w:rFonts w:hint="default" w:ascii="Times New Roman" w:hAnsi="Times New Roman" w:eastAsia="微软雅黑" w:cs="Times New Roman"/>
          <w:color w:val="000000"/>
          <w:kern w:val="0"/>
          <w:sz w:val="21"/>
          <w:szCs w:val="21"/>
          <w:lang w:val="en-US" w:eastAsia="zh-CN" w:bidi="ar"/>
        </w:rPr>
        <w:t>.1 d中得到的蛋白溶液</w:t>
      </w:r>
      <w:r>
        <w:rPr>
          <w:rFonts w:hint="default" w:ascii="Times New Roman" w:hAnsi="Times New Roman" w:eastAsia="微软雅黑" w:cs="Times New Roman"/>
          <w:color w:val="FF0000"/>
          <w:kern w:val="0"/>
          <w:sz w:val="21"/>
          <w:szCs w:val="21"/>
          <w:lang w:val="en-US" w:eastAsia="zh-CN" w:bidi="ar"/>
        </w:rPr>
        <w:t>（建议总体积不超过20μl）</w:t>
      </w:r>
      <w:r>
        <w:rPr>
          <w:rFonts w:hint="default" w:ascii="Times New Roman" w:hAnsi="Times New Roman" w:eastAsia="微软雅黑" w:cs="Times New Roman"/>
          <w:color w:val="000000"/>
          <w:kern w:val="0"/>
          <w:sz w:val="21"/>
          <w:szCs w:val="21"/>
          <w:lang w:val="en-US" w:eastAsia="zh-CN" w:bidi="ar"/>
        </w:rPr>
        <w:t>依次加入S板，分别补加试剂A 20 μl，吹打混匀后95℃加热5min（95℃，1000</w:t>
      </w:r>
      <w:r>
        <w:rPr>
          <w:rFonts w:hint="eastAsia"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000000"/>
          <w:kern w:val="0"/>
          <w:sz w:val="21"/>
          <w:szCs w:val="21"/>
          <w:lang w:val="en-US" w:eastAsia="zh-CN" w:bidi="ar"/>
        </w:rPr>
        <w:t>rpm）；</w:t>
      </w:r>
    </w:p>
    <w:p w14:paraId="23963C1E">
      <w:pPr>
        <w:keepNext w:val="0"/>
        <w:keepLines w:val="0"/>
        <w:pageBreakBefore w:val="0"/>
        <w:widowControl w:val="0"/>
        <w:numPr>
          <w:ilvl w:val="0"/>
          <w:numId w:val="3"/>
        </w:numPr>
        <w:kinsoku/>
        <w:wordWrap/>
        <w:overflowPunct/>
        <w:topLinePunct w:val="0"/>
        <w:autoSpaceDE/>
        <w:autoSpaceDN/>
        <w:bidi w:val="0"/>
        <w:adjustRightInd/>
        <w:snapToGrid/>
        <w:spacing w:before="157" w:beforeLines="50" w:after="157" w:afterLines="50" w:line="400" w:lineRule="exact"/>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加热结束待样品恢复至室温后，每孔加入</w:t>
      </w:r>
      <w:r>
        <w:rPr>
          <w:rFonts w:hint="eastAsia" w:ascii="Times New Roman" w:hAnsi="Times New Roman" w:eastAsia="微软雅黑" w:cs="Times New Roman"/>
          <w:color w:val="000000"/>
          <w:kern w:val="0"/>
          <w:sz w:val="21"/>
          <w:szCs w:val="21"/>
          <w:lang w:val="en-US" w:eastAsia="zh-CN" w:bidi="ar"/>
        </w:rPr>
        <w:t>1</w:t>
      </w:r>
      <w:r>
        <w:rPr>
          <w:rFonts w:hint="default" w:ascii="Times New Roman" w:hAnsi="Times New Roman" w:eastAsia="微软雅黑" w:cs="Times New Roman"/>
          <w:color w:val="000000"/>
          <w:kern w:val="0"/>
          <w:sz w:val="21"/>
          <w:szCs w:val="21"/>
          <w:lang w:val="en-US" w:eastAsia="zh-CN" w:bidi="ar"/>
        </w:rPr>
        <w:t>5μl试剂</w:t>
      </w:r>
      <w:r>
        <w:rPr>
          <w:rFonts w:hint="eastAsia" w:ascii="Times New Roman" w:hAnsi="Times New Roman" w:eastAsia="微软雅黑" w:cs="Times New Roman"/>
          <w:color w:val="000000"/>
          <w:kern w:val="0"/>
          <w:sz w:val="21"/>
          <w:szCs w:val="21"/>
          <w:lang w:val="en-US" w:eastAsia="zh-CN" w:bidi="ar"/>
        </w:rPr>
        <w:t>B，</w:t>
      </w:r>
      <w:r>
        <w:rPr>
          <w:rFonts w:hint="default" w:ascii="Times New Roman" w:hAnsi="Times New Roman" w:eastAsia="微软雅黑" w:cs="Times New Roman"/>
          <w:color w:val="000000"/>
          <w:kern w:val="0"/>
          <w:sz w:val="21"/>
          <w:szCs w:val="21"/>
          <w:lang w:val="en-US" w:eastAsia="zh-CN" w:bidi="ar"/>
        </w:rPr>
        <w:t>混匀，37℃酶解2h</w:t>
      </w:r>
      <w:r>
        <w:rPr>
          <w:rFonts w:hint="eastAsia"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000000"/>
          <w:kern w:val="0"/>
          <w:sz w:val="21"/>
          <w:szCs w:val="21"/>
          <w:lang w:val="en-US" w:eastAsia="zh-CN" w:bidi="ar"/>
        </w:rPr>
        <w:t>（</w:t>
      </w:r>
      <w:r>
        <w:rPr>
          <w:rFonts w:hint="eastAsia" w:ascii="Times New Roman" w:hAnsi="Times New Roman" w:eastAsia="微软雅黑" w:cs="Times New Roman"/>
          <w:color w:val="000000"/>
          <w:kern w:val="0"/>
          <w:sz w:val="21"/>
          <w:szCs w:val="21"/>
          <w:lang w:val="en-US" w:eastAsia="zh-CN" w:bidi="ar"/>
        </w:rPr>
        <w:t>37</w:t>
      </w:r>
      <w:r>
        <w:rPr>
          <w:rFonts w:hint="default" w:ascii="Times New Roman" w:hAnsi="Times New Roman" w:eastAsia="微软雅黑" w:cs="Times New Roman"/>
          <w:color w:val="000000"/>
          <w:kern w:val="0"/>
          <w:sz w:val="21"/>
          <w:szCs w:val="21"/>
          <w:lang w:val="en-US" w:eastAsia="zh-CN" w:bidi="ar"/>
        </w:rPr>
        <w:t>℃，1000</w:t>
      </w:r>
      <w:r>
        <w:rPr>
          <w:rFonts w:hint="eastAsia"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000000"/>
          <w:kern w:val="0"/>
          <w:sz w:val="21"/>
          <w:szCs w:val="21"/>
          <w:lang w:val="en-US" w:eastAsia="zh-CN" w:bidi="ar"/>
        </w:rPr>
        <w:t>rpm）；</w:t>
      </w:r>
    </w:p>
    <w:p w14:paraId="0DF65E79">
      <w:pPr>
        <w:keepNext w:val="0"/>
        <w:keepLines w:val="0"/>
        <w:pageBreakBefore w:val="0"/>
        <w:widowControl w:val="0"/>
        <w:numPr>
          <w:ilvl w:val="0"/>
          <w:numId w:val="3"/>
        </w:numPr>
        <w:kinsoku/>
        <w:wordWrap/>
        <w:overflowPunct/>
        <w:topLinePunct w:val="0"/>
        <w:autoSpaceDE/>
        <w:autoSpaceDN/>
        <w:bidi w:val="0"/>
        <w:adjustRightInd/>
        <w:snapToGrid/>
        <w:spacing w:before="157" w:beforeLines="50" w:after="157" w:afterLines="50" w:line="400" w:lineRule="exact"/>
        <w:ind w:left="425" w:leftChars="0" w:hanging="425" w:firstLineChars="0"/>
        <w:textAlignment w:val="auto"/>
        <w:rPr>
          <w:rFonts w:hint="default" w:ascii="Times New Roman" w:hAnsi="Times New Roman" w:eastAsia="微软雅黑" w:cs="Times New Roman"/>
          <w:b w:val="0"/>
          <w:bCs w:val="0"/>
          <w:sz w:val="21"/>
          <w:szCs w:val="21"/>
        </w:rPr>
      </w:pPr>
      <w:r>
        <w:rPr>
          <w:rFonts w:hint="default" w:ascii="Times New Roman" w:hAnsi="Times New Roman" w:eastAsia="微软雅黑" w:cs="Times New Roman"/>
          <w:b w:val="0"/>
          <w:bCs w:val="0"/>
          <w:color w:val="000000"/>
          <w:kern w:val="0"/>
          <w:sz w:val="21"/>
          <w:szCs w:val="21"/>
          <w:lang w:val="en-US" w:eastAsia="zh-CN" w:bidi="ar"/>
        </w:rPr>
        <w:t>酶解结束后每孔加入</w:t>
      </w:r>
      <w:r>
        <w:rPr>
          <w:rFonts w:hint="eastAsia" w:ascii="Times New Roman" w:hAnsi="Times New Roman" w:eastAsia="微软雅黑" w:cs="Times New Roman"/>
          <w:b w:val="0"/>
          <w:bCs w:val="0"/>
          <w:color w:val="000000"/>
          <w:kern w:val="0"/>
          <w:sz w:val="21"/>
          <w:szCs w:val="21"/>
          <w:lang w:val="en-US" w:eastAsia="zh-CN" w:bidi="ar"/>
        </w:rPr>
        <w:t>75</w:t>
      </w:r>
      <w:r>
        <w:rPr>
          <w:rFonts w:hint="default" w:ascii="Times New Roman" w:hAnsi="Times New Roman" w:eastAsia="微软雅黑" w:cs="Times New Roman"/>
          <w:b w:val="0"/>
          <w:bCs w:val="0"/>
          <w:color w:val="000000"/>
          <w:kern w:val="0"/>
          <w:sz w:val="21"/>
          <w:szCs w:val="21"/>
          <w:lang w:val="en-US" w:eastAsia="zh-CN" w:bidi="ar"/>
        </w:rPr>
        <w:t xml:space="preserve"> μl试剂</w:t>
      </w:r>
      <w:r>
        <w:rPr>
          <w:rFonts w:hint="eastAsia" w:ascii="Times New Roman" w:hAnsi="Times New Roman" w:eastAsia="微软雅黑" w:cs="Times New Roman"/>
          <w:b w:val="0"/>
          <w:bCs w:val="0"/>
          <w:color w:val="000000"/>
          <w:kern w:val="0"/>
          <w:sz w:val="21"/>
          <w:szCs w:val="21"/>
          <w:lang w:val="en-US" w:eastAsia="zh-CN" w:bidi="ar"/>
        </w:rPr>
        <w:t>C，</w:t>
      </w:r>
      <w:r>
        <w:rPr>
          <w:rFonts w:hint="default" w:ascii="Times New Roman" w:hAnsi="Times New Roman" w:eastAsia="微软雅黑" w:cs="Times New Roman"/>
          <w:b w:val="0"/>
          <w:bCs w:val="0"/>
          <w:color w:val="000000"/>
          <w:kern w:val="0"/>
          <w:sz w:val="21"/>
          <w:szCs w:val="21"/>
          <w:lang w:val="en-US" w:eastAsia="zh-CN" w:bidi="ar"/>
        </w:rPr>
        <w:t>混匀，终止酶解反应，此时</w:t>
      </w:r>
      <w:r>
        <w:rPr>
          <w:rFonts w:hint="eastAsia" w:ascii="Times New Roman" w:hAnsi="Times New Roman" w:eastAsia="微软雅黑" w:cs="Times New Roman"/>
          <w:b w:val="0"/>
          <w:bCs w:val="0"/>
          <w:color w:val="000000"/>
          <w:kern w:val="0"/>
          <w:sz w:val="21"/>
          <w:szCs w:val="21"/>
          <w:lang w:val="en-US" w:eastAsia="zh-CN" w:bidi="ar"/>
        </w:rPr>
        <w:t>可能</w:t>
      </w:r>
      <w:r>
        <w:rPr>
          <w:rFonts w:hint="default" w:ascii="Times New Roman" w:hAnsi="Times New Roman" w:eastAsia="微软雅黑" w:cs="Times New Roman"/>
          <w:b w:val="0"/>
          <w:bCs w:val="0"/>
          <w:color w:val="000000"/>
          <w:kern w:val="0"/>
          <w:sz w:val="21"/>
          <w:szCs w:val="21"/>
          <w:lang w:val="en-US" w:eastAsia="zh-CN" w:bidi="ar"/>
        </w:rPr>
        <w:t>会有沉淀出现，</w:t>
      </w:r>
      <w:r>
        <w:rPr>
          <w:rFonts w:hint="eastAsia" w:ascii="Times New Roman" w:hAnsi="Times New Roman" w:eastAsia="微软雅黑" w:cs="Times New Roman"/>
          <w:b w:val="0"/>
          <w:bCs w:val="0"/>
          <w:color w:val="000000"/>
          <w:kern w:val="0"/>
          <w:sz w:val="21"/>
          <w:szCs w:val="21"/>
          <w:lang w:val="en-US" w:eastAsia="zh-CN" w:bidi="ar"/>
        </w:rPr>
        <w:t>14</w:t>
      </w:r>
      <w:r>
        <w:rPr>
          <w:rFonts w:hint="default" w:ascii="Times New Roman" w:hAnsi="Times New Roman" w:eastAsia="微软雅黑" w:cs="Times New Roman"/>
          <w:b w:val="0"/>
          <w:bCs w:val="0"/>
          <w:color w:val="000000"/>
          <w:kern w:val="0"/>
          <w:sz w:val="21"/>
          <w:szCs w:val="21"/>
          <w:lang w:val="en-US" w:eastAsia="zh-CN" w:bidi="ar"/>
        </w:rPr>
        <w:t>000g离心</w:t>
      </w:r>
      <w:r>
        <w:rPr>
          <w:rFonts w:hint="eastAsia" w:ascii="Times New Roman" w:hAnsi="Times New Roman" w:eastAsia="微软雅黑" w:cs="Times New Roman"/>
          <w:b w:val="0"/>
          <w:bCs w:val="0"/>
          <w:color w:val="000000"/>
          <w:kern w:val="0"/>
          <w:sz w:val="21"/>
          <w:szCs w:val="21"/>
          <w:lang w:val="en-US" w:eastAsia="zh-CN" w:bidi="ar"/>
        </w:rPr>
        <w:t>5</w:t>
      </w:r>
      <w:r>
        <w:rPr>
          <w:rFonts w:hint="default" w:ascii="Times New Roman" w:hAnsi="Times New Roman" w:eastAsia="微软雅黑" w:cs="Times New Roman"/>
          <w:b w:val="0"/>
          <w:bCs w:val="0"/>
          <w:color w:val="000000"/>
          <w:kern w:val="0"/>
          <w:sz w:val="21"/>
          <w:szCs w:val="21"/>
          <w:lang w:val="en-US" w:eastAsia="zh-CN" w:bidi="ar"/>
        </w:rPr>
        <w:t>min后吸取上清待后续脱盐。</w:t>
      </w:r>
    </w:p>
    <w:p w14:paraId="50A30B37">
      <w:pPr>
        <w:spacing w:line="240" w:lineRule="auto"/>
        <w:rPr>
          <w:rFonts w:hint="default"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hint="default" w:ascii="Times New Roman" w:hAnsi="Times New Roman" w:eastAsia="微软雅黑" w:cs="Times New Roman"/>
          <w:b/>
          <w:bCs/>
          <w:sz w:val="21"/>
          <w:szCs w:val="21"/>
        </w:rPr>
        <w:t>.3 肽段脱盐</w:t>
      </w:r>
    </w:p>
    <w:p w14:paraId="65C26EAA">
      <w:pPr>
        <w:keepNext w:val="0"/>
        <w:keepLines w:val="0"/>
        <w:pageBreakBefore w:val="0"/>
        <w:widowControl/>
        <w:numPr>
          <w:ilvl w:val="0"/>
          <w:numId w:val="4"/>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将Cartridge插入Adaptor上置于Waste板中；</w:t>
      </w:r>
    </w:p>
    <w:p w14:paraId="26773AF6">
      <w:pPr>
        <w:keepNext w:val="0"/>
        <w:keepLines w:val="0"/>
        <w:pageBreakBefore w:val="0"/>
        <w:widowControl/>
        <w:numPr>
          <w:ilvl w:val="0"/>
          <w:numId w:val="4"/>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加载样本</w:t>
      </w:r>
      <w:r>
        <w:rPr>
          <w:rFonts w:hint="default" w:ascii="Times New Roman" w:hAnsi="Times New Roman" w:eastAsia="微软雅黑" w:cs="Times New Roman"/>
          <w:color w:val="000000"/>
          <w:kern w:val="0"/>
          <w:sz w:val="21"/>
          <w:szCs w:val="21"/>
          <w:lang w:val="en-US" w:eastAsia="zh-CN" w:bidi="ar"/>
        </w:rPr>
        <w:t>：将样本（1-30μg）全部加载到脱盐柱中，700g离心1min，重复操作一次；</w:t>
      </w:r>
    </w:p>
    <w:p w14:paraId="174670DD">
      <w:pPr>
        <w:keepNext w:val="0"/>
        <w:keepLines w:val="0"/>
        <w:pageBreakBefore w:val="0"/>
        <w:widowControl/>
        <w:numPr>
          <w:ilvl w:val="0"/>
          <w:numId w:val="4"/>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Cartridge（脱盐柱）</w:t>
      </w:r>
      <w:r>
        <w:rPr>
          <w:rFonts w:hint="eastAsia" w:ascii="Times New Roman" w:hAnsi="Times New Roman" w:eastAsia="微软雅黑" w:cs="Times New Roman"/>
          <w:color w:val="000000"/>
          <w:kern w:val="0"/>
          <w:sz w:val="21"/>
          <w:szCs w:val="21"/>
          <w:lang w:val="en-US" w:eastAsia="zh-CN" w:bidi="ar"/>
        </w:rPr>
        <w:t>清洗1</w:t>
      </w:r>
      <w:r>
        <w:rPr>
          <w:rFonts w:hint="default" w:ascii="Times New Roman" w:hAnsi="Times New Roman" w:eastAsia="微软雅黑" w:cs="Times New Roman"/>
          <w:color w:val="000000"/>
          <w:kern w:val="0"/>
          <w:sz w:val="21"/>
          <w:szCs w:val="21"/>
          <w:lang w:val="en-US" w:eastAsia="zh-CN" w:bidi="ar"/>
        </w:rPr>
        <w:t xml:space="preserve">：100μl </w:t>
      </w:r>
      <w:r>
        <w:rPr>
          <w:rFonts w:hint="eastAsia" w:ascii="Times New Roman" w:hAnsi="Times New Roman" w:eastAsia="微软雅黑" w:cs="Times New Roman"/>
          <w:color w:val="000000"/>
          <w:kern w:val="0"/>
          <w:sz w:val="21"/>
          <w:szCs w:val="21"/>
          <w:lang w:val="en-US" w:eastAsia="zh-CN" w:bidi="ar"/>
        </w:rPr>
        <w:t>试剂D</w:t>
      </w:r>
      <w:r>
        <w:rPr>
          <w:rFonts w:hint="default" w:ascii="Times New Roman" w:hAnsi="Times New Roman" w:eastAsia="微软雅黑" w:cs="Times New Roman"/>
          <w:color w:val="000000"/>
          <w:kern w:val="0"/>
          <w:sz w:val="21"/>
          <w:szCs w:val="21"/>
          <w:lang w:val="en-US" w:eastAsia="zh-CN" w:bidi="ar"/>
        </w:rPr>
        <w:t>加入到脱盐柱中，700g离心1min；</w:t>
      </w:r>
      <w:r>
        <w:rPr>
          <w:rFonts w:hint="eastAsia" w:ascii="Times New Roman" w:hAnsi="Times New Roman" w:eastAsia="微软雅黑" w:cs="Times New Roman"/>
          <w:color w:val="000000"/>
          <w:kern w:val="0"/>
          <w:sz w:val="21"/>
          <w:szCs w:val="21"/>
          <w:lang w:val="en-US" w:eastAsia="zh-CN" w:bidi="ar"/>
        </w:rPr>
        <w:t>重复操作一次；</w:t>
      </w:r>
    </w:p>
    <w:p w14:paraId="407CF0C4">
      <w:pPr>
        <w:keepNext w:val="0"/>
        <w:keepLines w:val="0"/>
        <w:pageBreakBefore w:val="0"/>
        <w:widowControl/>
        <w:numPr>
          <w:ilvl w:val="0"/>
          <w:numId w:val="4"/>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Cartridge（脱盐柱）</w:t>
      </w:r>
      <w:r>
        <w:rPr>
          <w:rFonts w:hint="eastAsia" w:ascii="Times New Roman" w:hAnsi="Times New Roman" w:eastAsia="微软雅黑" w:cs="Times New Roman"/>
          <w:color w:val="000000"/>
          <w:kern w:val="0"/>
          <w:sz w:val="21"/>
          <w:szCs w:val="21"/>
          <w:lang w:val="en-US" w:eastAsia="zh-CN" w:bidi="ar"/>
        </w:rPr>
        <w:t>清洗2</w:t>
      </w:r>
      <w:r>
        <w:rPr>
          <w:rFonts w:hint="default" w:ascii="Times New Roman" w:hAnsi="Times New Roman" w:eastAsia="微软雅黑" w:cs="Times New Roman"/>
          <w:color w:val="000000"/>
          <w:kern w:val="0"/>
          <w:sz w:val="21"/>
          <w:szCs w:val="21"/>
          <w:lang w:val="en-US" w:eastAsia="zh-CN" w:bidi="ar"/>
        </w:rPr>
        <w:t xml:space="preserve">：100μl </w:t>
      </w:r>
      <w:r>
        <w:rPr>
          <w:rFonts w:hint="eastAsia" w:ascii="Times New Roman" w:hAnsi="Times New Roman" w:eastAsia="微软雅黑" w:cs="Times New Roman"/>
          <w:color w:val="000000"/>
          <w:kern w:val="0"/>
          <w:sz w:val="21"/>
          <w:szCs w:val="21"/>
          <w:lang w:val="en-US" w:eastAsia="zh-CN" w:bidi="ar"/>
        </w:rPr>
        <w:t>试剂E</w:t>
      </w:r>
      <w:r>
        <w:rPr>
          <w:rFonts w:hint="default" w:ascii="Times New Roman" w:hAnsi="Times New Roman" w:eastAsia="微软雅黑" w:cs="Times New Roman"/>
          <w:color w:val="000000"/>
          <w:kern w:val="0"/>
          <w:sz w:val="21"/>
          <w:szCs w:val="21"/>
          <w:lang w:val="en-US" w:eastAsia="zh-CN" w:bidi="ar"/>
        </w:rPr>
        <w:t>加入到脱盐柱中，700g离心1min；</w:t>
      </w:r>
      <w:r>
        <w:rPr>
          <w:rFonts w:hint="eastAsia" w:ascii="Times New Roman" w:hAnsi="Times New Roman" w:eastAsia="微软雅黑" w:cs="Times New Roman"/>
          <w:color w:val="000000"/>
          <w:kern w:val="0"/>
          <w:sz w:val="21"/>
          <w:szCs w:val="21"/>
          <w:lang w:val="en-US" w:eastAsia="zh-CN" w:bidi="ar"/>
        </w:rPr>
        <w:t>重复操作一次；</w:t>
      </w:r>
    </w:p>
    <w:p w14:paraId="4EC37F69">
      <w:pPr>
        <w:keepNext w:val="0"/>
        <w:keepLines w:val="0"/>
        <w:pageBreakBefore w:val="0"/>
        <w:widowControl/>
        <w:numPr>
          <w:ilvl w:val="0"/>
          <w:numId w:val="4"/>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将放有Cartridge的Adaptor转移至新的Collection板上；</w:t>
      </w:r>
    </w:p>
    <w:p w14:paraId="1B17397E">
      <w:pPr>
        <w:keepNext w:val="0"/>
        <w:keepLines w:val="0"/>
        <w:pageBreakBefore w:val="0"/>
        <w:widowControl/>
        <w:numPr>
          <w:ilvl w:val="0"/>
          <w:numId w:val="4"/>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样本洗脱</w:t>
      </w:r>
      <w:r>
        <w:rPr>
          <w:rFonts w:hint="eastAsia" w:ascii="Times New Roman" w:hAnsi="Times New Roman" w:eastAsia="微软雅黑" w:cs="Times New Roman"/>
          <w:color w:val="000000"/>
          <w:kern w:val="0"/>
          <w:sz w:val="21"/>
          <w:szCs w:val="21"/>
          <w:lang w:val="en-US" w:eastAsia="zh-CN" w:bidi="ar"/>
        </w:rPr>
        <w:t>：100</w:t>
      </w:r>
      <w:r>
        <w:rPr>
          <w:rFonts w:hint="default" w:ascii="Times New Roman" w:hAnsi="Times New Roman" w:eastAsia="微软雅黑" w:cs="Times New Roman"/>
          <w:color w:val="000000"/>
          <w:kern w:val="0"/>
          <w:sz w:val="21"/>
          <w:szCs w:val="21"/>
          <w:lang w:val="en-US" w:eastAsia="zh-CN" w:bidi="ar"/>
        </w:rPr>
        <w:t xml:space="preserve">μl </w:t>
      </w:r>
      <w:r>
        <w:rPr>
          <w:rFonts w:hint="eastAsia" w:ascii="Times New Roman" w:hAnsi="Times New Roman" w:eastAsia="微软雅黑" w:cs="Times New Roman"/>
          <w:color w:val="000000"/>
          <w:kern w:val="0"/>
          <w:sz w:val="21"/>
          <w:szCs w:val="21"/>
          <w:lang w:val="en-US" w:eastAsia="zh-CN" w:bidi="ar"/>
        </w:rPr>
        <w:t>试剂F</w:t>
      </w:r>
      <w:r>
        <w:rPr>
          <w:rFonts w:hint="default" w:ascii="Times New Roman" w:hAnsi="Times New Roman" w:eastAsia="微软雅黑" w:cs="Times New Roman"/>
          <w:color w:val="000000"/>
          <w:kern w:val="0"/>
          <w:sz w:val="21"/>
          <w:szCs w:val="21"/>
          <w:lang w:val="en-US" w:eastAsia="zh-CN" w:bidi="ar"/>
        </w:rPr>
        <w:t>加入到脱盐柱中，700g离心1min，洗脱两次，最终样本体积为</w:t>
      </w:r>
      <w:r>
        <w:rPr>
          <w:rFonts w:hint="eastAsia" w:ascii="Times New Roman" w:hAnsi="Times New Roman" w:eastAsia="微软雅黑" w:cs="Times New Roman"/>
          <w:color w:val="000000"/>
          <w:kern w:val="0"/>
          <w:sz w:val="21"/>
          <w:szCs w:val="21"/>
          <w:lang w:val="en-US" w:eastAsia="zh-CN" w:bidi="ar"/>
        </w:rPr>
        <w:t>20</w:t>
      </w:r>
      <w:r>
        <w:rPr>
          <w:rFonts w:hint="default" w:ascii="Times New Roman" w:hAnsi="Times New Roman" w:eastAsia="微软雅黑" w:cs="Times New Roman"/>
          <w:color w:val="000000"/>
          <w:kern w:val="0"/>
          <w:sz w:val="21"/>
          <w:szCs w:val="21"/>
          <w:lang w:val="en-US" w:eastAsia="zh-CN" w:bidi="ar"/>
        </w:rPr>
        <w:t>0μl</w:t>
      </w:r>
      <w:r>
        <w:rPr>
          <w:rFonts w:hint="eastAsia" w:ascii="Times New Roman" w:hAnsi="Times New Roman" w:eastAsia="微软雅黑" w:cs="Times New Roman"/>
          <w:color w:val="000000"/>
          <w:kern w:val="0"/>
          <w:sz w:val="21"/>
          <w:szCs w:val="21"/>
          <w:lang w:val="en-US" w:eastAsia="zh-CN" w:bidi="ar"/>
        </w:rPr>
        <w:t>左右</w:t>
      </w:r>
      <w:r>
        <w:rPr>
          <w:rFonts w:hint="default" w:ascii="Times New Roman" w:hAnsi="Times New Roman" w:eastAsia="微软雅黑" w:cs="Times New Roman"/>
          <w:color w:val="000000"/>
          <w:kern w:val="0"/>
          <w:sz w:val="21"/>
          <w:szCs w:val="21"/>
          <w:lang w:val="en-US" w:eastAsia="zh-CN" w:bidi="ar"/>
        </w:rPr>
        <w:t>；</w:t>
      </w:r>
    </w:p>
    <w:p w14:paraId="59F7626C">
      <w:pPr>
        <w:keepNext w:val="0"/>
        <w:keepLines w:val="0"/>
        <w:pageBreakBefore w:val="0"/>
        <w:widowControl/>
        <w:numPr>
          <w:ilvl w:val="0"/>
          <w:numId w:val="4"/>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真空冷冻离心浓缩仪浓缩样本。</w:t>
      </w:r>
    </w:p>
    <w:p w14:paraId="2514AE65">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5</w:t>
      </w:r>
      <w:r>
        <w:rPr>
          <w:rFonts w:ascii="Times New Roman" w:hAnsi="Times New Roman" w:eastAsia="微软雅黑" w:cs="Times New Roman"/>
          <w:b/>
          <w:bCs/>
          <w:sz w:val="21"/>
          <w:szCs w:val="21"/>
        </w:rPr>
        <w:t>. 注意事项</w:t>
      </w:r>
    </w:p>
    <w:p w14:paraId="60C18A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eastAsia" w:ascii="Times New Roman" w:hAnsi="Times New Roman" w:eastAsia="微软雅黑" w:cs="Times New Roman"/>
          <w:color w:val="000000"/>
          <w:kern w:val="0"/>
          <w:sz w:val="18"/>
          <w:szCs w:val="18"/>
          <w:lang w:val="en-US" w:eastAsia="zh-CN" w:bidi="ar"/>
        </w:rPr>
        <w:t>试剂0和试剂A低温下会析出，建议使用前置于水浴锅中（</w:t>
      </w:r>
      <w:r>
        <w:rPr>
          <w:rFonts w:hint="default" w:ascii="Times New Roman" w:hAnsi="Times New Roman" w:eastAsia="微软雅黑" w:cs="Times New Roman"/>
          <w:color w:val="000000"/>
          <w:kern w:val="0"/>
          <w:sz w:val="18"/>
          <w:szCs w:val="18"/>
          <w:lang w:val="en-US" w:eastAsia="zh-CN" w:bidi="ar"/>
        </w:rPr>
        <w:t>5</w:t>
      </w:r>
      <w:r>
        <w:rPr>
          <w:rFonts w:hint="eastAsia" w:ascii="Times New Roman" w:hAnsi="Times New Roman" w:eastAsia="微软雅黑" w:cs="Times New Roman"/>
          <w:color w:val="000000"/>
          <w:kern w:val="0"/>
          <w:sz w:val="18"/>
          <w:szCs w:val="18"/>
          <w:lang w:val="en-US" w:eastAsia="zh-CN" w:bidi="ar"/>
        </w:rPr>
        <w:t>6</w:t>
      </w:r>
      <w:r>
        <w:rPr>
          <w:rFonts w:hint="default" w:ascii="Times New Roman" w:hAnsi="Times New Roman" w:eastAsia="微软雅黑" w:cs="Times New Roman"/>
          <w:color w:val="000000"/>
          <w:kern w:val="0"/>
          <w:sz w:val="18"/>
          <w:szCs w:val="18"/>
          <w:lang w:val="en-US" w:eastAsia="zh-CN" w:bidi="ar"/>
        </w:rPr>
        <w:t>℃</w:t>
      </w:r>
      <w:r>
        <w:rPr>
          <w:rFonts w:hint="eastAsia" w:ascii="Times New Roman" w:hAnsi="Times New Roman" w:eastAsia="微软雅黑" w:cs="Times New Roman"/>
          <w:color w:val="000000"/>
          <w:kern w:val="0"/>
          <w:sz w:val="18"/>
          <w:szCs w:val="18"/>
          <w:lang w:val="en-US" w:eastAsia="zh-CN" w:bidi="ar"/>
        </w:rPr>
        <w:t>）放置10min，待结晶重溶后混合均匀使用；</w:t>
      </w:r>
    </w:p>
    <w:p w14:paraId="518771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肽段脱盐过程离心速度不要超过推荐的离心速度（最大离心速度不要超过1000g），因为这可能会损坏柱子填料导致样品丢失和/或损坏仪器；</w:t>
      </w:r>
    </w:p>
    <w:p w14:paraId="26D411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使用低吸附离心管，最大限度的提高样本回收率；</w:t>
      </w:r>
    </w:p>
    <w:p w14:paraId="706DED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酶解结束后加入试剂</w:t>
      </w:r>
      <w:r>
        <w:rPr>
          <w:rFonts w:hint="eastAsia" w:ascii="Times New Roman" w:hAnsi="Times New Roman" w:eastAsia="微软雅黑" w:cs="Times New Roman"/>
          <w:color w:val="000000"/>
          <w:kern w:val="0"/>
          <w:sz w:val="18"/>
          <w:szCs w:val="18"/>
          <w:lang w:val="en-US" w:eastAsia="zh-CN" w:bidi="ar"/>
        </w:rPr>
        <w:t>C可能</w:t>
      </w:r>
      <w:r>
        <w:rPr>
          <w:rFonts w:ascii="Times New Roman" w:hAnsi="Times New Roman" w:eastAsia="微软雅黑" w:cs="Times New Roman"/>
          <w:color w:val="000000"/>
          <w:kern w:val="0"/>
          <w:sz w:val="18"/>
          <w:szCs w:val="18"/>
          <w:lang w:bidi="ar"/>
        </w:rPr>
        <w:t>有沉淀出现</w:t>
      </w:r>
      <w:r>
        <w:rPr>
          <w:rFonts w:hint="eastAsia" w:ascii="Times New Roman" w:hAnsi="Times New Roman" w:eastAsia="微软雅黑" w:cs="Times New Roman"/>
          <w:color w:val="000000"/>
          <w:kern w:val="0"/>
          <w:sz w:val="18"/>
          <w:szCs w:val="18"/>
          <w:lang w:eastAsia="zh-CN" w:bidi="ar"/>
        </w:rPr>
        <w:t>，</w:t>
      </w:r>
      <w:r>
        <w:rPr>
          <w:rFonts w:hint="eastAsia" w:ascii="Times New Roman" w:hAnsi="Times New Roman" w:eastAsia="微软雅黑" w:cs="Times New Roman"/>
          <w:color w:val="000000"/>
          <w:kern w:val="0"/>
          <w:sz w:val="18"/>
          <w:szCs w:val="18"/>
          <w:lang w:val="en-US" w:eastAsia="zh-CN" w:bidi="ar"/>
        </w:rPr>
        <w:t>建议</w:t>
      </w:r>
      <w:r>
        <w:rPr>
          <w:rFonts w:ascii="Times New Roman" w:hAnsi="Times New Roman" w:eastAsia="微软雅黑" w:cs="Times New Roman"/>
          <w:color w:val="000000"/>
          <w:kern w:val="0"/>
          <w:sz w:val="18"/>
          <w:szCs w:val="18"/>
          <w:lang w:bidi="ar"/>
        </w:rPr>
        <w:t>高速离心后</w:t>
      </w:r>
      <w:r>
        <w:rPr>
          <w:rFonts w:hint="eastAsia" w:ascii="Times New Roman" w:hAnsi="Times New Roman" w:eastAsia="微软雅黑" w:cs="Times New Roman"/>
          <w:color w:val="000000"/>
          <w:kern w:val="0"/>
          <w:sz w:val="18"/>
          <w:szCs w:val="18"/>
          <w:lang w:val="en-US" w:eastAsia="zh-CN" w:bidi="ar"/>
        </w:rPr>
        <w:t>再继续</w:t>
      </w:r>
      <w:r>
        <w:rPr>
          <w:rFonts w:ascii="Times New Roman" w:hAnsi="Times New Roman" w:eastAsia="微软雅黑" w:cs="Times New Roman"/>
          <w:color w:val="000000"/>
          <w:kern w:val="0"/>
          <w:sz w:val="18"/>
          <w:szCs w:val="18"/>
          <w:lang w:bidi="ar"/>
        </w:rPr>
        <w:t>进行后续实验；</w:t>
      </w:r>
    </w:p>
    <w:p w14:paraId="145FBF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样本比较难消化酶解时可适当加长酶解时间；</w:t>
      </w:r>
    </w:p>
    <w:p w14:paraId="33508D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酶解后样本如</w:t>
      </w:r>
      <w:r>
        <w:rPr>
          <w:rFonts w:hint="eastAsia" w:ascii="Times New Roman" w:hAnsi="Times New Roman" w:eastAsia="微软雅黑" w:cs="Times New Roman"/>
          <w:color w:val="000000"/>
          <w:kern w:val="0"/>
          <w:sz w:val="18"/>
          <w:szCs w:val="18"/>
          <w:lang w:bidi="ar"/>
        </w:rPr>
        <w:t>不能及时进行</w:t>
      </w:r>
      <w:r>
        <w:rPr>
          <w:rFonts w:ascii="Times New Roman" w:hAnsi="Times New Roman" w:eastAsia="微软雅黑" w:cs="Times New Roman"/>
          <w:color w:val="000000"/>
          <w:kern w:val="0"/>
          <w:sz w:val="18"/>
          <w:szCs w:val="18"/>
          <w:lang w:bidi="ar"/>
        </w:rPr>
        <w:t>后续脱盐处理，可-80℃存放2周；</w:t>
      </w:r>
    </w:p>
    <w:p w14:paraId="52E804C6">
      <w:pPr>
        <w:keepNext w:val="0"/>
        <w:keepLines w:val="0"/>
        <w:pageBreakBefore w:val="0"/>
        <w:widowControl/>
        <w:numPr>
          <w:ilvl w:val="0"/>
          <w:numId w:val="5"/>
        </w:numPr>
        <w:kinsoku/>
        <w:wordWrap/>
        <w:overflowPunct/>
        <w:topLinePunct w:val="0"/>
        <w:autoSpaceDE/>
        <w:autoSpaceDN/>
        <w:bidi w:val="0"/>
        <w:adjustRightInd/>
        <w:snapToGrid/>
        <w:spacing w:after="313" w:afterLines="100"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避免样品污染及皮肤直接接触试剂，实验时戴好手套、口罩。</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071"/>
        <w:gridCol w:w="2451"/>
      </w:tblGrid>
      <w:tr w14:paraId="18820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6" w:hRule="atLeast"/>
        </w:trPr>
        <w:tc>
          <w:tcPr>
            <w:tcW w:w="6071" w:type="dxa"/>
            <w:noWrap w:val="0"/>
            <w:vAlign w:val="top"/>
          </w:tcPr>
          <w:p w14:paraId="561D9EC5">
            <w:pPr>
              <w:keepNext w:val="0"/>
              <w:keepLines w:val="0"/>
              <w:pageBreakBefore w:val="0"/>
              <w:widowControl/>
              <w:numPr>
                <w:ilvl w:val="0"/>
                <w:numId w:val="0"/>
              </w:numPr>
              <w:kinsoku/>
              <w:wordWrap/>
              <w:overflowPunct/>
              <w:topLinePunct w:val="0"/>
              <w:autoSpaceDE/>
              <w:autoSpaceDN/>
              <w:bidi w:val="0"/>
              <w:adjustRightInd/>
              <w:snapToGrid/>
              <w:spacing w:line="360" w:lineRule="auto"/>
              <w:jc w:val="right"/>
              <w:textAlignment w:val="auto"/>
              <w:rPr>
                <w:rFonts w:hint="default"/>
                <w:sz w:val="18"/>
                <w:szCs w:val="18"/>
                <w:vertAlign w:val="baseline"/>
                <w:lang w:val="en-US" w:eastAsia="zh-CN"/>
              </w:rPr>
            </w:pPr>
            <w:r>
              <w:rPr>
                <w:rFonts w:hint="default"/>
                <w:sz w:val="18"/>
                <w:szCs w:val="18"/>
                <w:vertAlign w:val="baseline"/>
                <w:lang w:val="en-US" w:eastAsia="zh-CN"/>
              </w:rPr>
              <w:drawing>
                <wp:inline distT="0" distB="0" distL="114300" distR="114300">
                  <wp:extent cx="666115" cy="666115"/>
                  <wp:effectExtent l="0" t="0" r="635" b="635"/>
                  <wp:docPr id="6" name="图片 10" desc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0" descr="code"/>
                          <pic:cNvPicPr>
                            <a:picLocks noChangeAspect="1"/>
                          </pic:cNvPicPr>
                        </pic:nvPicPr>
                        <pic:blipFill>
                          <a:blip r:embed="rId11"/>
                          <a:stretch>
                            <a:fillRect/>
                          </a:stretch>
                        </pic:blipFill>
                        <pic:spPr>
                          <a:xfrm>
                            <a:off x="0" y="0"/>
                            <a:ext cx="666115" cy="666115"/>
                          </a:xfrm>
                          <a:prstGeom prst="rect">
                            <a:avLst/>
                          </a:prstGeom>
                          <a:noFill/>
                          <a:ln>
                            <a:noFill/>
                          </a:ln>
                        </pic:spPr>
                      </pic:pic>
                    </a:graphicData>
                  </a:graphic>
                </wp:inline>
              </w:drawing>
            </w:r>
          </w:p>
        </w:tc>
        <w:tc>
          <w:tcPr>
            <w:tcW w:w="2451" w:type="dxa"/>
            <w:noWrap w:val="0"/>
            <w:vAlign w:val="center"/>
          </w:tcPr>
          <w:p w14:paraId="0B20A51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官方网站：</w:t>
            </w:r>
            <w:r>
              <w:rPr>
                <w:rStyle w:val="8"/>
                <w:rFonts w:hint="default" w:ascii="Times New Roman" w:hAnsi="Times New Roman" w:eastAsia="微软雅黑" w:cs="Times New Roman"/>
                <w:kern w:val="0"/>
                <w:sz w:val="15"/>
                <w:szCs w:val="15"/>
                <w:lang w:val="en-US" w:eastAsia="zh-CN" w:bidi="ar"/>
              </w:rPr>
              <w:t>www.omicsolution.com</w:t>
            </w:r>
          </w:p>
          <w:p w14:paraId="5A6BFC7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若有任何疑问，欢迎</w:t>
            </w:r>
            <w:r>
              <w:rPr>
                <w:rFonts w:hint="eastAsia" w:ascii="Times New Roman" w:hAnsi="Times New Roman" w:eastAsia="微软雅黑" w:cs="Times New Roman"/>
                <w:color w:val="415163"/>
                <w:sz w:val="15"/>
                <w:szCs w:val="15"/>
                <w:lang w:val="en-US" w:eastAsia="zh-CN"/>
              </w:rPr>
              <w:t>发送</w:t>
            </w:r>
            <w:r>
              <w:rPr>
                <w:rFonts w:hint="default" w:ascii="Times New Roman" w:hAnsi="Times New Roman" w:eastAsia="微软雅黑" w:cs="Times New Roman"/>
                <w:color w:val="415163"/>
                <w:sz w:val="15"/>
                <w:szCs w:val="15"/>
              </w:rPr>
              <w:t>邮件</w:t>
            </w:r>
            <w:r>
              <w:rPr>
                <w:rFonts w:hint="eastAsia" w:ascii="Times New Roman" w:hAnsi="Times New Roman" w:eastAsia="微软雅黑" w:cs="Times New Roman"/>
                <w:color w:val="415163"/>
                <w:sz w:val="15"/>
                <w:szCs w:val="15"/>
                <w:lang w:val="en-US" w:eastAsia="zh-CN"/>
              </w:rPr>
              <w:t>至</w:t>
            </w:r>
            <w:r>
              <w:rPr>
                <w:rFonts w:hint="default" w:ascii="Times New Roman" w:hAnsi="Times New Roman" w:eastAsia="微软雅黑" w:cs="Times New Roman"/>
                <w:color w:val="415163"/>
                <w:sz w:val="15"/>
                <w:szCs w:val="15"/>
              </w:rPr>
              <w:t>：</w:t>
            </w:r>
          </w:p>
          <w:p w14:paraId="7EB684B0">
            <w:pPr>
              <w:keepNext w:val="0"/>
              <w:keepLines w:val="0"/>
              <w:widowControl/>
              <w:suppressLineNumbers w:val="0"/>
              <w:spacing w:line="240" w:lineRule="auto"/>
              <w:jc w:val="left"/>
              <w:rPr>
                <w:rFonts w:hint="default" w:ascii="Times New Roman" w:hAnsi="Times New Roman" w:eastAsia="微软雅黑" w:cs="Times New Roman"/>
                <w:sz w:val="15"/>
                <w:szCs w:val="15"/>
                <w:vertAlign w:val="baseline"/>
                <w:lang w:val="en-US" w:eastAsia="zh-CN"/>
              </w:rPr>
            </w:pPr>
            <w:r>
              <w:rPr>
                <w:rStyle w:val="8"/>
                <w:rFonts w:hint="default" w:ascii="Times New Roman" w:hAnsi="Times New Roman" w:eastAsia="微软雅黑" w:cs="Times New Roman"/>
                <w:kern w:val="0"/>
                <w:sz w:val="15"/>
                <w:szCs w:val="15"/>
                <w:lang w:val="en-US" w:eastAsia="zh-CN" w:bidi="ar"/>
              </w:rPr>
              <w:t>support@omicsolution.com</w:t>
            </w:r>
          </w:p>
        </w:tc>
      </w:tr>
    </w:tbl>
    <w:p w14:paraId="76AA3692">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left"/>
        <w:textAlignment w:val="auto"/>
        <w:rPr>
          <w:rFonts w:hint="default" w:ascii="Times New Roman" w:hAnsi="Times New Roman" w:eastAsia="微软雅黑" w:cs="Times New Roman"/>
          <w:color w:val="000000"/>
          <w:kern w:val="0"/>
          <w:sz w:val="18"/>
          <w:szCs w:val="18"/>
          <w:lang w:val="en-US" w:eastAsia="zh-CN" w:bidi="ar"/>
        </w:rPr>
      </w:pPr>
    </w:p>
    <w:sectPr>
      <w:headerReference r:id="rId3" w:type="default"/>
      <w:footerReference r:id="rId4" w:type="default"/>
      <w:pgSz w:w="11906" w:h="16838"/>
      <w:pgMar w:top="1327" w:right="1293" w:bottom="1157" w:left="1293" w:header="851" w:footer="907" w:gutter="0"/>
      <w:paperSrc/>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EC3B5">
    <w:pPr>
      <w:pStyle w:val="2"/>
      <w:rPr>
        <w:rFonts w:hint="eastAsia"/>
        <w:lang w:eastAsia="zh-CN"/>
      </w:rPr>
    </w:pPr>
    <w:r>
      <w:rPr>
        <w:rFonts w:hint="eastAsia" w:ascii="微软雅黑" w:hAnsi="微软雅黑" w:eastAsia="微软雅黑" w:cs="微软雅黑"/>
        <w:sz w:val="24"/>
        <w:szCs w:val="24"/>
      </w:rPr>
      <mc:AlternateContent>
        <mc:Choice Requires="wps">
          <w:drawing>
            <wp:anchor distT="0" distB="0" distL="114300" distR="114300" simplePos="0" relativeHeight="251662336" behindDoc="0" locked="0" layoutInCell="1" allowOverlap="1">
              <wp:simplePos x="0" y="0"/>
              <wp:positionH relativeFrom="margin">
                <wp:posOffset>2595245</wp:posOffset>
              </wp:positionH>
              <wp:positionV relativeFrom="paragraph">
                <wp:posOffset>99060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ED7C805">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4.35pt;margin-top:7.8pt;height:144pt;width:144pt;mso-position-horizontal-relative:margin;mso-wrap-style:none;z-index:251662336;mso-width-relative:page;mso-height-relative:page;" filled="f" stroked="f" coordsize="21600,21600" o:gfxdata="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BoPKC1wAAAAoBAAAPAAAAAAAAAAEAIAAAACIAAABkcnMvZG93bnJl&#10;di54bWxQSwECFAAUAAAACACHTuJAe3NDNTcCAABxBAAADgAAAAAAAAABACAAAAAmAQAAZHJzL2Uy&#10;b0RvYy54bWxQSwUGAAAAAAYABgBZAQAAzwUAAAAA&#10;">
              <v:fill on="f" focussize="0,0"/>
              <v:stroke on="f" weight="0.5pt"/>
              <v:imagedata o:title=""/>
              <o:lock v:ext="edit" aspectratio="f"/>
              <v:textbox inset="0mm,0mm,0mm,0mm" style="mso-fit-shape-to-text:t;">
                <w:txbxContent>
                  <w:p w14:paraId="3ED7C805">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r>
      <w:rPr>
        <w:rFonts w:hint="eastAsia" w:ascii="微软雅黑" w:hAnsi="微软雅黑" w:eastAsia="微软雅黑" w:cs="微软雅黑"/>
        <w:sz w:val="24"/>
        <w:szCs w:val="24"/>
      </w:rPr>
      <w:drawing>
        <wp:anchor distT="0" distB="0" distL="114300" distR="114300" simplePos="0" relativeHeight="251660288" behindDoc="1" locked="0" layoutInCell="1" allowOverlap="1">
          <wp:simplePos x="0" y="0"/>
          <wp:positionH relativeFrom="page">
            <wp:posOffset>0</wp:posOffset>
          </wp:positionH>
          <wp:positionV relativeFrom="page">
            <wp:posOffset>9334500</wp:posOffset>
          </wp:positionV>
          <wp:extent cx="7559675" cy="1327150"/>
          <wp:effectExtent l="0" t="0" r="3175" b="6350"/>
          <wp:wrapNone/>
          <wp:docPr id="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pic:cNvPicPr>
                    <a:picLocks noChangeAspect="1"/>
                  </pic:cNvPicPr>
                </pic:nvPicPr>
                <pic:blipFill>
                  <a:blip r:embed="rId1"/>
                  <a:stretch>
                    <a:fillRect/>
                  </a:stretch>
                </pic:blipFill>
                <pic:spPr>
                  <a:xfrm flipH="1" flipV="1">
                    <a:off x="0" y="0"/>
                    <a:ext cx="7559675" cy="1327150"/>
                  </a:xfrm>
                  <a:prstGeom prst="rect">
                    <a:avLst/>
                  </a:prstGeom>
                  <a:noFill/>
                  <a:ln>
                    <a:noFill/>
                  </a:ln>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F9BD3D">
    <w:pPr>
      <w:pStyle w:val="3"/>
    </w:pPr>
    <w:r>
      <w:drawing>
        <wp:anchor distT="0" distB="0" distL="114300" distR="114300" simplePos="0" relativeHeight="251659264" behindDoc="1" locked="0" layoutInCell="1" allowOverlap="1">
          <wp:simplePos x="0" y="0"/>
          <wp:positionH relativeFrom="page">
            <wp:posOffset>6350</wp:posOffset>
          </wp:positionH>
          <wp:positionV relativeFrom="page">
            <wp:posOffset>-6350</wp:posOffset>
          </wp:positionV>
          <wp:extent cx="7559675" cy="1357630"/>
          <wp:effectExtent l="0" t="0" r="3175" b="13970"/>
          <wp:wrapNone/>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
                  <a:stretch>
                    <a:fillRect/>
                  </a:stretch>
                </pic:blipFill>
                <pic:spPr>
                  <a:xfrm>
                    <a:off x="0" y="0"/>
                    <a:ext cx="7559675" cy="1357630"/>
                  </a:xfrm>
                  <a:prstGeom prst="rect">
                    <a:avLst/>
                  </a:prstGeom>
                  <a:noFill/>
                  <a:ln>
                    <a:noFill/>
                  </a:ln>
                </pic:spPr>
              </pic:pic>
            </a:graphicData>
          </a:graphic>
          <wp14:sizeRelH relativeFrom="page">
            <wp14:pctWidth>100000</wp14:pctWidth>
          </wp14:sizeRelH>
          <wp14:sizeRelV relativeFrom="page">
            <wp14:pctHeight>0</wp14:pctHeight>
          </wp14:sizeRelV>
        </wp:anchor>
      </w:drawing>
    </w:r>
    <w:r>
      <w:rPr>
        <w:sz w:val="18"/>
      </w:rPr>
      <w:drawing>
        <wp:anchor distT="0" distB="0" distL="114300" distR="114300" simplePos="0" relativeHeight="251661312" behindDoc="1" locked="0" layoutInCell="1" allowOverlap="1">
          <wp:simplePos x="0" y="0"/>
          <wp:positionH relativeFrom="margin">
            <wp:align>center</wp:align>
          </wp:positionH>
          <wp:positionV relativeFrom="margin">
            <wp:align>center</wp:align>
          </wp:positionV>
          <wp:extent cx="5274310" cy="911860"/>
          <wp:effectExtent l="1503045" t="0" r="1547495" b="0"/>
          <wp:wrapNone/>
          <wp:docPr id="9" name="WordPictureWatermark3966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39663" descr="logo"/>
                  <pic:cNvPicPr>
                    <a:picLocks noChangeAspect="1"/>
                  </pic:cNvPicPr>
                </pic:nvPicPr>
                <pic:blipFill>
                  <a:blip r:embed="rId2">
                    <a:lum bright="69998" contrast="-70001"/>
                  </a:blip>
                  <a:stretch>
                    <a:fillRect/>
                  </a:stretch>
                </pic:blipFill>
                <pic:spPr>
                  <a:xfrm rot="-2700000">
                    <a:off x="0" y="0"/>
                    <a:ext cx="5274310" cy="91186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2A7489"/>
    <w:multiLevelType w:val="singleLevel"/>
    <w:tmpl w:val="842A7489"/>
    <w:lvl w:ilvl="0" w:tentative="0">
      <w:start w:val="1"/>
      <w:numFmt w:val="lowerLetter"/>
      <w:lvlText w:val="%1."/>
      <w:lvlJc w:val="left"/>
      <w:pPr>
        <w:ind w:left="425" w:hanging="425"/>
      </w:pPr>
      <w:rPr>
        <w:rFonts w:hint="default"/>
      </w:rPr>
    </w:lvl>
  </w:abstractNum>
  <w:abstractNum w:abstractNumId="1">
    <w:nsid w:val="970C61D9"/>
    <w:multiLevelType w:val="singleLevel"/>
    <w:tmpl w:val="970C61D9"/>
    <w:lvl w:ilvl="0" w:tentative="0">
      <w:start w:val="1"/>
      <w:numFmt w:val="bullet"/>
      <w:lvlText w:val=""/>
      <w:lvlJc w:val="left"/>
      <w:pPr>
        <w:ind w:left="420" w:hanging="420"/>
      </w:pPr>
      <w:rPr>
        <w:rFonts w:hint="default" w:ascii="Wingdings" w:hAnsi="Wingdings"/>
      </w:rPr>
    </w:lvl>
  </w:abstractNum>
  <w:abstractNum w:abstractNumId="2">
    <w:nsid w:val="D0856594"/>
    <w:multiLevelType w:val="singleLevel"/>
    <w:tmpl w:val="D0856594"/>
    <w:lvl w:ilvl="0" w:tentative="0">
      <w:start w:val="1"/>
      <w:numFmt w:val="lowerLetter"/>
      <w:lvlText w:val="%1."/>
      <w:lvlJc w:val="left"/>
      <w:pPr>
        <w:ind w:left="425" w:hanging="425"/>
      </w:pPr>
      <w:rPr>
        <w:rFonts w:hint="default"/>
      </w:rPr>
    </w:lvl>
  </w:abstractNum>
  <w:abstractNum w:abstractNumId="3">
    <w:nsid w:val="4EB15633"/>
    <w:multiLevelType w:val="singleLevel"/>
    <w:tmpl w:val="4EB15633"/>
    <w:lvl w:ilvl="0" w:tentative="0">
      <w:start w:val="1"/>
      <w:numFmt w:val="decimal"/>
      <w:suff w:val="space"/>
      <w:lvlText w:val="%1."/>
      <w:lvlJc w:val="left"/>
    </w:lvl>
  </w:abstractNum>
  <w:abstractNum w:abstractNumId="4">
    <w:nsid w:val="661BB288"/>
    <w:multiLevelType w:val="singleLevel"/>
    <w:tmpl w:val="661BB288"/>
    <w:lvl w:ilvl="0" w:tentative="0">
      <w:start w:val="1"/>
      <w:numFmt w:val="lowerLetter"/>
      <w:lvlText w:val="%1."/>
      <w:lvlJc w:val="left"/>
      <w:pPr>
        <w:ind w:left="425" w:hanging="425"/>
      </w:pPr>
      <w:rPr>
        <w:rFonts w:hint="default"/>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4MmJmZWM4N2NmNzM0ODc5NTJkMGZhNzZhNmI2ZDgifQ=="/>
    <w:docVar w:name="KSO_WPS_MARK_KEY" w:val="c2ab7a66-b8f9-448f-b569-84da057635be"/>
  </w:docVars>
  <w:rsids>
    <w:rsidRoot w:val="00000000"/>
    <w:rsid w:val="018F3FA3"/>
    <w:rsid w:val="02DB0EF5"/>
    <w:rsid w:val="03B5355C"/>
    <w:rsid w:val="0596039F"/>
    <w:rsid w:val="062742B2"/>
    <w:rsid w:val="06714EA1"/>
    <w:rsid w:val="083D43BB"/>
    <w:rsid w:val="0F50375E"/>
    <w:rsid w:val="116862A3"/>
    <w:rsid w:val="11DA79F4"/>
    <w:rsid w:val="13AC0DFB"/>
    <w:rsid w:val="14420B1E"/>
    <w:rsid w:val="15717E59"/>
    <w:rsid w:val="168B7BE6"/>
    <w:rsid w:val="16DE3331"/>
    <w:rsid w:val="16F41A6D"/>
    <w:rsid w:val="18AC5484"/>
    <w:rsid w:val="192F5041"/>
    <w:rsid w:val="19976823"/>
    <w:rsid w:val="1ACB0F8B"/>
    <w:rsid w:val="1BAF4D2D"/>
    <w:rsid w:val="1D2737FF"/>
    <w:rsid w:val="1EFC5E1C"/>
    <w:rsid w:val="239D478B"/>
    <w:rsid w:val="23A23279"/>
    <w:rsid w:val="26243349"/>
    <w:rsid w:val="2D246E8D"/>
    <w:rsid w:val="2FFA371C"/>
    <w:rsid w:val="306744D1"/>
    <w:rsid w:val="30926BF3"/>
    <w:rsid w:val="30B25E12"/>
    <w:rsid w:val="32D957D9"/>
    <w:rsid w:val="344F3FA7"/>
    <w:rsid w:val="36054F45"/>
    <w:rsid w:val="39C35C2E"/>
    <w:rsid w:val="3D2C6E4B"/>
    <w:rsid w:val="3E0C69BD"/>
    <w:rsid w:val="3F8F6DDC"/>
    <w:rsid w:val="402E7690"/>
    <w:rsid w:val="412918FC"/>
    <w:rsid w:val="41412BA9"/>
    <w:rsid w:val="41A70DDB"/>
    <w:rsid w:val="42F655C2"/>
    <w:rsid w:val="442D6C97"/>
    <w:rsid w:val="4964460F"/>
    <w:rsid w:val="4C886703"/>
    <w:rsid w:val="52097B89"/>
    <w:rsid w:val="52A5300F"/>
    <w:rsid w:val="52B002B3"/>
    <w:rsid w:val="531C398F"/>
    <w:rsid w:val="53377EF6"/>
    <w:rsid w:val="570A0BB1"/>
    <w:rsid w:val="5B712CCC"/>
    <w:rsid w:val="5C0351D3"/>
    <w:rsid w:val="5E4844DA"/>
    <w:rsid w:val="5F8836EA"/>
    <w:rsid w:val="60546E99"/>
    <w:rsid w:val="60A74B67"/>
    <w:rsid w:val="60F90299"/>
    <w:rsid w:val="63F70CE7"/>
    <w:rsid w:val="663E337D"/>
    <w:rsid w:val="68825F51"/>
    <w:rsid w:val="6B97466D"/>
    <w:rsid w:val="6D381BDD"/>
    <w:rsid w:val="6FC62671"/>
    <w:rsid w:val="71520A01"/>
    <w:rsid w:val="71A4002C"/>
    <w:rsid w:val="73595F1D"/>
    <w:rsid w:val="75BE509E"/>
    <w:rsid w:val="7AB51E6A"/>
    <w:rsid w:val="7AF516A8"/>
    <w:rsid w:val="7D1909E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uiPriority w:val="0"/>
    <w:tblPr>
      <w:tblStyle w:val="5"/>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uiPriority w:val="0"/>
    <w:pPr>
      <w:spacing w:before="100" w:beforeAutospacing="1" w:after="10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Style w:val="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8.jpeg"/><Relationship Id="rId10" Type="http://schemas.openxmlformats.org/officeDocument/2006/relationships/image" Target="media/image7.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1511</Words>
  <Characters>1901</Characters>
  <Lines>0</Lines>
  <Paragraphs>0</Paragraphs>
  <TotalTime>0</TotalTime>
  <ScaleCrop>false</ScaleCrop>
  <LinksUpToDate>false</LinksUpToDate>
  <CharactersWithSpaces>1961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2022-03-28T04:49:00Z</dcterms:created>
  <dc:creator>omicsolution</dc:creator>
  <cp:lastModifiedBy>shygza</cp:lastModifiedBy>
  <cp:lastPrinted>2024-12-01T05:57:39Z</cp:lastPrinted>
  <dcterms:modified xsi:type="dcterms:W3CDTF">2026-06-11T06:44:42Z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E03F7B07F4864DD8B4DC6049D420F6B7_13</vt:lpwstr>
  </property>
  <property fmtid="{D5CDD505-2E9C-101B-9397-08002B2CF9AE}" pid="4" name="KSOTemplateDocerSaveRecord">
    <vt:lpwstr>eyJoZGlkIjoiNGE4MmJmZWM4N2NmNzM0ODc5NTJkMGZhNzZhNmI2ZDgiLCJ1c2VySWQiOiI2OTYyMTYzMjYifQ==</vt:lpwstr>
  </property>
</Properties>
</file>