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5.svg" ContentType="image/svg+xml"/>
  <Override PartName="/word/media/image7.svg" ContentType="image/svg+xml"/>
  <Override PartName="/word/media/image9.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78B8A1">
      <w:pPr>
        <w:jc w:val="center"/>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易肽</w:t>
      </w:r>
      <w:r>
        <w:rPr>
          <w:rFonts w:hint="default" w:ascii="Times New Roman" w:hAnsi="Times New Roman" w:eastAsia="微软雅黑" w:cs="Times New Roman"/>
          <w:b/>
          <w:bCs/>
          <w:sz w:val="32"/>
          <w:szCs w:val="32"/>
        </w:rPr>
        <w:t>DeeP</w:t>
      </w:r>
      <w:r>
        <w:rPr>
          <w:rFonts w:hint="eastAsia" w:ascii="微软雅黑" w:hAnsi="微软雅黑" w:eastAsia="微软雅黑" w:cs="微软雅黑"/>
          <w:b/>
          <w:bCs/>
          <w:sz w:val="32"/>
          <w:szCs w:val="32"/>
        </w:rPr>
        <w:t>低丰度蛋白富集及前处理制备试剂盒</w:t>
      </w:r>
    </w:p>
    <w:p w14:paraId="51E6CA29">
      <w:pPr>
        <w:jc w:val="center"/>
        <w:rPr>
          <w:rFonts w:hint="default" w:ascii="微软雅黑" w:hAnsi="微软雅黑" w:eastAsia="微软雅黑" w:cs="微软雅黑"/>
          <w:lang w:val="en-US" w:eastAsia="zh-CN"/>
        </w:rPr>
      </w:pPr>
      <w:r>
        <w:rPr>
          <w:rFonts w:hint="eastAsia" w:ascii="微软雅黑" w:hAnsi="微软雅黑" w:eastAsia="微软雅黑" w:cs="微软雅黑"/>
          <w:lang w:val="en-US" w:eastAsia="zh-CN"/>
        </w:rPr>
        <w:t>货号：OSFP0002  规格：8x  版本号：V20260609DZ</w:t>
      </w:r>
    </w:p>
    <w:p w14:paraId="3CEC0CB7">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517"/>
        <w:gridCol w:w="1645"/>
        <w:gridCol w:w="4735"/>
        <w:gridCol w:w="1406"/>
      </w:tblGrid>
      <w:tr w14:paraId="48766A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single" w:color="auto" w:sz="6" w:space="0"/>
              <w:bottom w:val="single" w:color="auto" w:sz="6" w:space="0"/>
            </w:tcBorders>
            <w:vAlign w:val="center"/>
          </w:tcPr>
          <w:p w14:paraId="442B1D43">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试剂名称</w:t>
            </w:r>
          </w:p>
        </w:tc>
        <w:tc>
          <w:tcPr>
            <w:tcW w:w="884" w:type="pct"/>
            <w:tcBorders>
              <w:top w:val="single" w:color="auto" w:sz="6" w:space="0"/>
              <w:bottom w:val="single" w:color="auto" w:sz="6" w:space="0"/>
            </w:tcBorders>
            <w:vAlign w:val="center"/>
          </w:tcPr>
          <w:p w14:paraId="0227B4BB">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规格</w:t>
            </w:r>
          </w:p>
        </w:tc>
        <w:tc>
          <w:tcPr>
            <w:tcW w:w="2544" w:type="pct"/>
            <w:tcBorders>
              <w:top w:val="single" w:color="auto" w:sz="6" w:space="0"/>
              <w:bottom w:val="single" w:color="auto" w:sz="6" w:space="0"/>
            </w:tcBorders>
            <w:vAlign w:val="center"/>
          </w:tcPr>
          <w:p w14:paraId="08B70EDE">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简   介</w:t>
            </w:r>
          </w:p>
        </w:tc>
        <w:tc>
          <w:tcPr>
            <w:tcW w:w="755" w:type="pct"/>
            <w:tcBorders>
              <w:top w:val="single" w:color="auto" w:sz="6" w:space="0"/>
              <w:bottom w:val="single" w:color="auto" w:sz="6" w:space="0"/>
            </w:tcBorders>
            <w:vAlign w:val="center"/>
          </w:tcPr>
          <w:p w14:paraId="0C2DDAB1">
            <w:pPr>
              <w:spacing w:line="360" w:lineRule="auto"/>
              <w:jc w:val="center"/>
              <w:rPr>
                <w:rFonts w:hint="default" w:ascii="Times New Roman" w:hAnsi="Times New Roman" w:eastAsia="微软雅黑" w:cs="Times New Roman"/>
                <w:b/>
                <w:bCs/>
                <w:sz w:val="18"/>
                <w:szCs w:val="18"/>
              </w:rPr>
            </w:pPr>
            <w:r>
              <w:rPr>
                <w:rFonts w:hint="default" w:ascii="Times New Roman" w:hAnsi="Times New Roman" w:eastAsia="微软雅黑" w:cs="Times New Roman"/>
                <w:b/>
                <w:bCs/>
                <w:sz w:val="18"/>
                <w:szCs w:val="18"/>
              </w:rPr>
              <w:t>储存条件</w:t>
            </w:r>
          </w:p>
        </w:tc>
      </w:tr>
      <w:tr w14:paraId="2E984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BCB749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试剂A </w:t>
            </w:r>
            <w:r>
              <w:rPr>
                <w:rFonts w:hint="default" w:ascii="Times New Roman" w:hAnsi="Times New Roman" w:eastAsia="微软雅黑" w:cs="Times New Roman"/>
                <w:color w:val="843C0B" w:themeColor="accent2" w:themeShade="80"/>
                <w:sz w:val="18"/>
                <w:szCs w:val="18"/>
              </w:rPr>
              <w:t>●</w:t>
            </w:r>
          </w:p>
        </w:tc>
        <w:tc>
          <w:tcPr>
            <w:tcW w:w="884" w:type="pct"/>
            <w:tcBorders>
              <w:top w:val="nil"/>
              <w:bottom w:val="nil"/>
            </w:tcBorders>
            <w:vAlign w:val="center"/>
          </w:tcPr>
          <w:p w14:paraId="518310FC">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36</w:t>
            </w:r>
            <w:r>
              <w:rPr>
                <w:rFonts w:hint="default" w:ascii="Times New Roman" w:hAnsi="Times New Roman" w:eastAsia="微软雅黑" w:cs="Times New Roman"/>
                <w:sz w:val="18"/>
                <w:szCs w:val="18"/>
              </w:rPr>
              <w:t>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4" w:type="pct"/>
            <w:tcBorders>
              <w:top w:val="nil"/>
              <w:bottom w:val="nil"/>
            </w:tcBorders>
            <w:vAlign w:val="center"/>
          </w:tcPr>
          <w:p w14:paraId="0096076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还原烷基化，蛋白质还原烷基化</w:t>
            </w:r>
            <w:r>
              <w:rPr>
                <w:rFonts w:hint="eastAsia" w:ascii="Times New Roman" w:hAnsi="Times New Roman" w:eastAsia="微软雅黑" w:cs="Times New Roman"/>
                <w:sz w:val="18"/>
                <w:szCs w:val="18"/>
                <w:lang w:eastAsia="zh-CN"/>
              </w:rPr>
              <w:t>，</w:t>
            </w:r>
            <w:r>
              <w:rPr>
                <w:rFonts w:hint="default" w:ascii="Times New Roman" w:hAnsi="Times New Roman" w:eastAsia="微软雅黑" w:cs="Times New Roman"/>
                <w:sz w:val="18"/>
                <w:szCs w:val="18"/>
              </w:rPr>
              <w:t>也可用于蛋白裂解</w:t>
            </w:r>
          </w:p>
        </w:tc>
        <w:tc>
          <w:tcPr>
            <w:tcW w:w="755" w:type="pct"/>
            <w:tcBorders>
              <w:top w:val="nil"/>
              <w:bottom w:val="nil"/>
            </w:tcBorders>
            <w:vAlign w:val="center"/>
          </w:tcPr>
          <w:p w14:paraId="4D6B0DCB">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693A8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25EEC6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B</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0000"/>
                <w:sz w:val="18"/>
                <w:szCs w:val="18"/>
              </w:rPr>
              <w:t>●</w:t>
            </w:r>
          </w:p>
        </w:tc>
        <w:tc>
          <w:tcPr>
            <w:tcW w:w="884" w:type="pct"/>
            <w:tcBorders>
              <w:top w:val="nil"/>
              <w:bottom w:val="nil"/>
            </w:tcBorders>
            <w:vAlign w:val="center"/>
          </w:tcPr>
          <w:p w14:paraId="4669CE5E">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140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4" w:type="pct"/>
            <w:tcBorders>
              <w:top w:val="nil"/>
              <w:bottom w:val="nil"/>
            </w:tcBorders>
            <w:vAlign w:val="center"/>
          </w:tcPr>
          <w:p w14:paraId="764105B0">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酶，蛋白酶解</w:t>
            </w:r>
          </w:p>
        </w:tc>
        <w:tc>
          <w:tcPr>
            <w:tcW w:w="755" w:type="pct"/>
            <w:tcBorders>
              <w:top w:val="nil"/>
              <w:bottom w:val="nil"/>
            </w:tcBorders>
            <w:vAlign w:val="center"/>
          </w:tcPr>
          <w:p w14:paraId="621F250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-20℃</w:t>
            </w:r>
          </w:p>
        </w:tc>
      </w:tr>
      <w:tr w14:paraId="5F3C54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18001C02">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p>
        </w:tc>
        <w:tc>
          <w:tcPr>
            <w:tcW w:w="884" w:type="pct"/>
            <w:tcBorders>
              <w:top w:val="nil"/>
              <w:bottom w:val="nil"/>
            </w:tcBorders>
            <w:vAlign w:val="center"/>
          </w:tcPr>
          <w:p w14:paraId="57523F86">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40</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μl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1</w:t>
            </w:r>
          </w:p>
        </w:tc>
        <w:tc>
          <w:tcPr>
            <w:tcW w:w="2544" w:type="pct"/>
            <w:tcBorders>
              <w:top w:val="nil"/>
              <w:bottom w:val="nil"/>
            </w:tcBorders>
            <w:vAlign w:val="center"/>
          </w:tcPr>
          <w:p w14:paraId="06A1FAB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终止试剂，终止酶解反应</w:t>
            </w:r>
          </w:p>
        </w:tc>
        <w:tc>
          <w:tcPr>
            <w:tcW w:w="755" w:type="pct"/>
            <w:tcBorders>
              <w:top w:val="nil"/>
              <w:bottom w:val="nil"/>
            </w:tcBorders>
            <w:vAlign w:val="center"/>
          </w:tcPr>
          <w:p w14:paraId="647EC79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常温</w:t>
            </w:r>
          </w:p>
        </w:tc>
      </w:tr>
      <w:tr w14:paraId="42ADB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4ECD410F">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 xml:space="preserve">试剂G </w:t>
            </w:r>
            <w:r>
              <w:rPr>
                <w:rFonts w:hint="default" w:ascii="Times New Roman" w:hAnsi="Times New Roman" w:eastAsia="微软雅黑" w:cs="Times New Roman"/>
                <w:color w:val="7030A0"/>
                <w:sz w:val="18"/>
                <w:szCs w:val="18"/>
              </w:rPr>
              <w:t>●</w:t>
            </w:r>
          </w:p>
        </w:tc>
        <w:tc>
          <w:tcPr>
            <w:tcW w:w="884" w:type="pct"/>
            <w:tcBorders>
              <w:top w:val="nil"/>
              <w:bottom w:val="nil"/>
            </w:tcBorders>
            <w:vAlign w:val="center"/>
          </w:tcPr>
          <w:p w14:paraId="3BFF9BA3">
            <w:pPr>
              <w:spacing w:line="360" w:lineRule="auto"/>
              <w:jc w:val="center"/>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2</w:t>
            </w:r>
            <w:r>
              <w:rPr>
                <w:rFonts w:hint="default" w:ascii="Times New Roman" w:hAnsi="Times New Roman" w:eastAsia="微软雅黑" w:cs="Times New Roman"/>
                <w:sz w:val="18"/>
                <w:szCs w:val="18"/>
              </w:rPr>
              <w:t>ml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eastAsia" w:ascii="Times New Roman" w:hAnsi="Times New Roman" w:eastAsia="微软雅黑" w:cs="Times New Roman"/>
                <w:sz w:val="18"/>
                <w:szCs w:val="18"/>
                <w:lang w:val="en-US" w:eastAsia="zh-CN"/>
              </w:rPr>
              <w:t>5</w:t>
            </w:r>
          </w:p>
        </w:tc>
        <w:tc>
          <w:tcPr>
            <w:tcW w:w="2544" w:type="pct"/>
            <w:tcBorders>
              <w:top w:val="nil"/>
              <w:bottom w:val="nil"/>
            </w:tcBorders>
            <w:vAlign w:val="center"/>
          </w:tcPr>
          <w:p w14:paraId="19CF47C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磁性微粒清洗液</w:t>
            </w:r>
          </w:p>
        </w:tc>
        <w:tc>
          <w:tcPr>
            <w:tcW w:w="755" w:type="pct"/>
            <w:tcBorders>
              <w:top w:val="nil"/>
              <w:bottom w:val="nil"/>
            </w:tcBorders>
            <w:vAlign w:val="center"/>
          </w:tcPr>
          <w:p w14:paraId="232D8BE4">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4℃</w:t>
            </w:r>
          </w:p>
        </w:tc>
      </w:tr>
      <w:tr w14:paraId="77973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D982033">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试剂</w:t>
            </w:r>
            <w:r>
              <w:rPr>
                <w:rFonts w:hint="eastAsia" w:ascii="Times New Roman" w:hAnsi="Times New Roman" w:eastAsia="微软雅黑" w:cs="Times New Roman"/>
                <w:sz w:val="18"/>
                <w:szCs w:val="18"/>
                <w:lang w:val="en-US" w:eastAsia="zh-CN"/>
              </w:rPr>
              <w:t>H</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color w:val="FFC000"/>
                <w:sz w:val="18"/>
                <w:szCs w:val="18"/>
              </w:rPr>
              <w:t>●</w:t>
            </w:r>
          </w:p>
        </w:tc>
        <w:tc>
          <w:tcPr>
            <w:tcW w:w="884" w:type="pct"/>
            <w:tcBorders>
              <w:top w:val="nil"/>
              <w:bottom w:val="nil"/>
            </w:tcBorders>
            <w:vAlign w:val="center"/>
          </w:tcPr>
          <w:p w14:paraId="6C843DC5">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850u</w:t>
            </w:r>
            <w:r>
              <w:rPr>
                <w:rFonts w:hint="default" w:ascii="Times New Roman" w:hAnsi="Times New Roman" w:eastAsia="微软雅黑" w:cs="Times New Roman"/>
                <w:sz w:val="18"/>
                <w:szCs w:val="18"/>
              </w:rPr>
              <w:t>l</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1</w:t>
            </w:r>
          </w:p>
        </w:tc>
        <w:tc>
          <w:tcPr>
            <w:tcW w:w="2544" w:type="pct"/>
            <w:tcBorders>
              <w:top w:val="nil"/>
              <w:bottom w:val="nil"/>
            </w:tcBorders>
            <w:vAlign w:val="center"/>
          </w:tcPr>
          <w:p w14:paraId="1D80D0AC">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磁性</w:t>
            </w:r>
            <w:r>
              <w:rPr>
                <w:rFonts w:hint="default" w:ascii="Times New Roman" w:hAnsi="Times New Roman" w:eastAsia="微软雅黑" w:cs="Times New Roman"/>
                <w:sz w:val="18"/>
                <w:szCs w:val="18"/>
                <w:lang w:val="en-US" w:eastAsia="zh-CN"/>
              </w:rPr>
              <w:t>微粒</w:t>
            </w:r>
            <w:r>
              <w:rPr>
                <w:rFonts w:hint="default" w:ascii="Times New Roman" w:hAnsi="Times New Roman" w:eastAsia="微软雅黑" w:cs="Times New Roman"/>
                <w:sz w:val="18"/>
                <w:szCs w:val="18"/>
              </w:rPr>
              <w:t>悬液</w:t>
            </w:r>
          </w:p>
        </w:tc>
        <w:tc>
          <w:tcPr>
            <w:tcW w:w="755" w:type="pct"/>
            <w:tcBorders>
              <w:top w:val="nil"/>
              <w:bottom w:val="nil"/>
            </w:tcBorders>
            <w:vAlign w:val="center"/>
          </w:tcPr>
          <w:p w14:paraId="79848185">
            <w:pPr>
              <w:spacing w:line="360" w:lineRule="auto"/>
              <w:jc w:val="center"/>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sz w:val="18"/>
                <w:szCs w:val="18"/>
              </w:rPr>
              <w:t>4℃</w:t>
            </w:r>
          </w:p>
        </w:tc>
      </w:tr>
      <w:tr w14:paraId="2FBC6C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5" w:type="pct"/>
            <w:tcBorders>
              <w:top w:val="nil"/>
              <w:bottom w:val="nil"/>
            </w:tcBorders>
            <w:vAlign w:val="center"/>
          </w:tcPr>
          <w:p w14:paraId="0B600F41">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Cartridge</w:t>
            </w:r>
          </w:p>
        </w:tc>
        <w:tc>
          <w:tcPr>
            <w:tcW w:w="884" w:type="pct"/>
            <w:tcBorders>
              <w:top w:val="nil"/>
              <w:bottom w:val="nil"/>
            </w:tcBorders>
            <w:vAlign w:val="center"/>
          </w:tcPr>
          <w:p w14:paraId="00221FB6">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20μg载量</w:t>
            </w:r>
            <w:r>
              <w:rPr>
                <w:rFonts w:hint="default" w:ascii="Times New Roman" w:hAnsi="Times New Roman" w:eastAsia="微软雅黑" w:cs="Times New Roman"/>
                <w:sz w:val="18"/>
                <w:szCs w:val="18"/>
                <w:lang w:val="en-US" w:eastAsia="zh-CN"/>
              </w:rPr>
              <w:t xml:space="preserve"> </w:t>
            </w:r>
            <w:r>
              <w:rPr>
                <w:rFonts w:hint="default" w:ascii="Times New Roman" w:hAnsi="Times New Roman" w:eastAsia="微软雅黑" w:cs="Times New Roman"/>
                <w:sz w:val="18"/>
                <w:szCs w:val="18"/>
              </w:rPr>
              <w:t>*</w:t>
            </w:r>
            <w:r>
              <w:rPr>
                <w:rFonts w:hint="default" w:ascii="Times New Roman" w:hAnsi="Times New Roman" w:eastAsia="微软雅黑" w:cs="Times New Roman"/>
                <w:sz w:val="18"/>
                <w:szCs w:val="18"/>
                <w:lang w:val="en-US" w:eastAsia="zh-CN"/>
              </w:rPr>
              <w:t xml:space="preserve"> </w:t>
            </w:r>
            <w:r>
              <w:rPr>
                <w:rFonts w:hint="eastAsia" w:ascii="Times New Roman" w:hAnsi="Times New Roman" w:eastAsia="微软雅黑" w:cs="Times New Roman"/>
                <w:sz w:val="18"/>
                <w:szCs w:val="18"/>
                <w:lang w:val="en-US" w:eastAsia="zh-CN"/>
              </w:rPr>
              <w:t>8</w:t>
            </w:r>
          </w:p>
        </w:tc>
        <w:tc>
          <w:tcPr>
            <w:tcW w:w="2544" w:type="pct"/>
            <w:tcBorders>
              <w:top w:val="nil"/>
              <w:bottom w:val="nil"/>
            </w:tcBorders>
            <w:vAlign w:val="center"/>
          </w:tcPr>
          <w:p w14:paraId="41CB43D3">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肽段脱盐</w:t>
            </w:r>
          </w:p>
        </w:tc>
        <w:tc>
          <w:tcPr>
            <w:tcW w:w="755" w:type="pct"/>
            <w:tcBorders>
              <w:top w:val="nil"/>
              <w:bottom w:val="nil"/>
            </w:tcBorders>
            <w:vAlign w:val="center"/>
          </w:tcPr>
          <w:p w14:paraId="51778C17">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rPr>
              <w:t>常温</w:t>
            </w:r>
          </w:p>
        </w:tc>
      </w:tr>
    </w:tbl>
    <w:p w14:paraId="5EA1639C">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bookmarkStart w:id="4" w:name="_GoBack"/>
      <w:bookmarkEnd w:id="4"/>
    </w:p>
    <w:p w14:paraId="0A98E12E">
      <w:pPr>
        <w:jc w:val="left"/>
        <w:rPr>
          <w:rFonts w:hint="default" w:ascii="Times New Roman" w:hAnsi="Times New Roman" w:eastAsia="微软雅黑" w:cs="Times New Roman"/>
          <w:lang w:val="en-US" w:eastAsia="zh-CN"/>
        </w:rPr>
      </w:pPr>
      <w:r>
        <w:rPr>
          <w:rFonts w:hint="default" w:ascii="Times New Roman" w:hAnsi="Times New Roman" w:eastAsia="微软雅黑" w:cs="Times New Roman"/>
          <w:lang w:val="en-US" w:eastAsia="zh-CN"/>
        </w:rPr>
        <w:t>易肽DeeP低丰度蛋白富集试剂盒基于功能性生物磁珠对生物样本中低丰度蛋白进行富集，突破物种和蛋白种类的限制。基于简单的孵育-磁分离-清洗三步即可实现高效快速的低丰度蛋白富集。</w:t>
      </w:r>
    </w:p>
    <w:p w14:paraId="5C84669F">
      <w:pPr>
        <w:jc w:val="left"/>
        <w:rPr>
          <w:rFonts w:hint="eastAsia" w:ascii="微软雅黑" w:hAnsi="微软雅黑" w:eastAsia="微软雅黑" w:cs="微软雅黑"/>
          <w:lang w:val="en-US" w:eastAsia="zh-CN"/>
        </w:rPr>
      </w:pPr>
      <w:r>
        <w:rPr>
          <w:rFonts w:hint="default" w:ascii="Times New Roman" w:hAnsi="Times New Roman" w:eastAsia="微软雅黑" w:cs="Times New Roman"/>
          <w:lang w:val="en-US" w:eastAsia="zh-CN"/>
        </w:rPr>
        <w:t>功能性生物磁珠是指表面修饰有功能性基团的具有超顺磁性的磁性微粒，表面的功能性基团包括羧基（PuriMag Si-COOH，PuriMag）、氨基（PuriMag Si-NH2，PuriMag）、阳离子涂层（PuriMag Si-WAX，PuriMag）、阴离子涂层（PuriMag Si-WCX，PuriMag）和羟基（PuriMag GS-OH，PuriMag），可通过静电相互作用等非共价作用与生物样本中的蛋白进行结合，从而实现对低丰度蛋白高效快速富集。并且由于具有磁性，富集到的蛋白更易实现磁场下快速分离，操作更简单</w:t>
      </w:r>
      <w:r>
        <w:rPr>
          <w:rFonts w:hint="eastAsia" w:ascii="微软雅黑" w:hAnsi="微软雅黑" w:eastAsia="微软雅黑" w:cs="微软雅黑"/>
          <w:lang w:val="en-US" w:eastAsia="zh-CN"/>
        </w:rPr>
        <w:t>。</w:t>
      </w:r>
    </w:p>
    <w:p w14:paraId="3F455C33">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同时，基于溶液内快速酶解的前处理方法，解决了蛋白洗脱不完全及传统方法耗时长的弊端，仅需</w:t>
      </w:r>
      <w:r>
        <w:rPr>
          <w:rFonts w:hint="default" w:ascii="Times New Roman" w:hAnsi="Times New Roman" w:eastAsia="微软雅黑" w:cs="Times New Roman"/>
          <w:lang w:val="en-US" w:eastAsia="zh-CN"/>
        </w:rPr>
        <w:t>3-4</w:t>
      </w:r>
      <w:r>
        <w:rPr>
          <w:rFonts w:hint="eastAsia" w:ascii="微软雅黑" w:hAnsi="微软雅黑" w:eastAsia="微软雅黑" w:cs="微软雅黑"/>
          <w:lang w:val="en-US" w:eastAsia="zh-CN"/>
        </w:rPr>
        <w:t>小时即可完成质谱检测前的所有步骤，实现低丰度蛋白的高效快速富集及制备，实现各种样本的蛋白质组深度覆盖检测。</w:t>
      </w:r>
    </w:p>
    <w:p w14:paraId="2DED14D5">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774055" cy="3184525"/>
            <wp:effectExtent l="0" t="0" r="7620" b="0"/>
            <wp:docPr id="4" name="图片 4" descr="OSFP0002-96-白色除盐头"/>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OSFP0002-96-白色除盐头"/>
                    <pic:cNvPicPr>
                      <a:picLocks noChangeAspect="1"/>
                    </pic:cNvPicPr>
                  </pic:nvPicPr>
                  <pic:blipFill>
                    <a:blip r:embed="rId6"/>
                    <a:stretch>
                      <a:fillRect/>
                    </a:stretch>
                  </pic:blipFill>
                  <pic:spPr>
                    <a:xfrm>
                      <a:off x="0" y="0"/>
                      <a:ext cx="5774055" cy="3184525"/>
                    </a:xfrm>
                    <a:prstGeom prst="rect">
                      <a:avLst/>
                    </a:prstGeom>
                  </pic:spPr>
                </pic:pic>
              </a:graphicData>
            </a:graphic>
          </wp:inline>
        </w:drawing>
      </w:r>
    </w:p>
    <w:p w14:paraId="339FDFB1">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需要准备的试剂耗材</w:t>
      </w:r>
    </w:p>
    <w:p w14:paraId="1077BBDE">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3.1 设备</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15"/>
        <w:gridCol w:w="1531"/>
        <w:gridCol w:w="6060"/>
      </w:tblGrid>
      <w:tr w14:paraId="4E17C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6" w:space="0"/>
              <w:bottom w:val="single" w:color="auto" w:sz="4" w:space="0"/>
            </w:tcBorders>
            <w:vAlign w:val="center"/>
          </w:tcPr>
          <w:p w14:paraId="055A659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822" w:type="pct"/>
            <w:tcBorders>
              <w:top w:val="single" w:color="auto" w:sz="6" w:space="0"/>
              <w:bottom w:val="single" w:color="auto" w:sz="4" w:space="0"/>
            </w:tcBorders>
            <w:vAlign w:val="center"/>
          </w:tcPr>
          <w:p w14:paraId="4F25D163">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vAlign w:val="center"/>
          </w:tcPr>
          <w:p w14:paraId="205A12D4">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0B79E8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single" w:color="auto" w:sz="4" w:space="0"/>
              <w:bottom w:val="nil"/>
            </w:tcBorders>
            <w:vAlign w:val="center"/>
          </w:tcPr>
          <w:p w14:paraId="50DC24A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822" w:type="pct"/>
            <w:tcBorders>
              <w:top w:val="single" w:color="auto" w:sz="4" w:space="0"/>
              <w:bottom w:val="nil"/>
            </w:tcBorders>
            <w:vAlign w:val="center"/>
          </w:tcPr>
          <w:p w14:paraId="1477308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79730" cy="494030"/>
                  <wp:effectExtent l="0" t="0" r="1270" b="8890"/>
                  <wp:docPr id="5" name="图片 5" descr="移液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移液枪"/>
                          <pic:cNvPicPr>
                            <a:picLocks noChangeAspect="1"/>
                          </pic:cNvPicPr>
                        </pic:nvPicPr>
                        <pic:blipFill>
                          <a:blip r:embed="rId7">
                            <a:extLst>
                              <a:ext uri="{96DAC541-7B7A-43D3-8B79-37D633B846F1}">
                                <asvg:svgBlip xmlns:asvg="http://schemas.microsoft.com/office/drawing/2016/SVG/main" r:embed="rId8"/>
                              </a:ext>
                            </a:extLst>
                          </a:blip>
                          <a:srcRect l="34574" t="14811" r="34917" b="10270"/>
                          <a:stretch>
                            <a:fillRect/>
                          </a:stretch>
                        </pic:blipFill>
                        <pic:spPr>
                          <a:xfrm>
                            <a:off x="0" y="0"/>
                            <a:ext cx="379730" cy="494030"/>
                          </a:xfrm>
                          <a:prstGeom prst="rect">
                            <a:avLst/>
                          </a:prstGeom>
                        </pic:spPr>
                      </pic:pic>
                    </a:graphicData>
                  </a:graphic>
                </wp:inline>
              </w:drawing>
            </w:r>
          </w:p>
        </w:tc>
        <w:tc>
          <w:tcPr>
            <w:tcW w:w="3256" w:type="pct"/>
            <w:tcBorders>
              <w:top w:val="single" w:color="auto" w:sz="4" w:space="0"/>
              <w:bottom w:val="nil"/>
            </w:tcBorders>
            <w:vAlign w:val="center"/>
          </w:tcPr>
          <w:p w14:paraId="3E2A7B58">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3ED40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CFB3871">
            <w:pPr>
              <w:spacing w:line="240" w:lineRule="auto"/>
              <w:jc w:val="center"/>
              <w:rPr>
                <w:rFonts w:ascii="Times New Roman" w:hAnsi="Times New Roman" w:eastAsia="微软雅黑" w:cs="Times New Roman"/>
                <w:sz w:val="18"/>
                <w:szCs w:val="18"/>
              </w:rPr>
            </w:pPr>
            <w:r>
              <w:rPr>
                <w:rFonts w:hint="eastAsia" w:ascii="Times New Roman" w:hAnsi="Times New Roman" w:eastAsia="微软雅黑" w:cs="Times New Roman"/>
                <w:sz w:val="18"/>
                <w:szCs w:val="18"/>
              </w:rPr>
              <w:t>磁力架</w:t>
            </w:r>
          </w:p>
        </w:tc>
        <w:tc>
          <w:tcPr>
            <w:tcW w:w="822" w:type="pct"/>
            <w:tcBorders>
              <w:top w:val="nil"/>
              <w:bottom w:val="nil"/>
            </w:tcBorders>
            <w:vAlign w:val="center"/>
          </w:tcPr>
          <w:p w14:paraId="249BD23A">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749935" cy="342265"/>
                  <wp:effectExtent l="0" t="0" r="12065" b="8255"/>
                  <wp:docPr id="6" name="图片 6" descr="磁力架"/>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磁力架"/>
                          <pic:cNvPicPr>
                            <a:picLocks noChangeAspect="1"/>
                          </pic:cNvPicPr>
                        </pic:nvPicPr>
                        <pic:blipFill>
                          <a:blip r:embed="rId9">
                            <a:extLst>
                              <a:ext uri="{96DAC541-7B7A-43D3-8B79-37D633B846F1}">
                                <asvg:svgBlip xmlns:asvg="http://schemas.microsoft.com/office/drawing/2016/SVG/main" r:embed="rId10"/>
                              </a:ext>
                            </a:extLst>
                          </a:blip>
                          <a:srcRect l="14654" t="22686" r="28392" b="31129"/>
                          <a:stretch>
                            <a:fillRect/>
                          </a:stretch>
                        </pic:blipFill>
                        <pic:spPr>
                          <a:xfrm>
                            <a:off x="0" y="0"/>
                            <a:ext cx="749935" cy="342265"/>
                          </a:xfrm>
                          <a:prstGeom prst="rect">
                            <a:avLst/>
                          </a:prstGeom>
                        </pic:spPr>
                      </pic:pic>
                    </a:graphicData>
                  </a:graphic>
                </wp:inline>
              </w:drawing>
            </w:r>
          </w:p>
        </w:tc>
        <w:tc>
          <w:tcPr>
            <w:tcW w:w="3256" w:type="pct"/>
            <w:tcBorders>
              <w:top w:val="nil"/>
              <w:bottom w:val="nil"/>
            </w:tcBorders>
            <w:vAlign w:val="center"/>
          </w:tcPr>
          <w:p w14:paraId="14AC714E">
            <w:pPr>
              <w:spacing w:line="240" w:lineRule="auto"/>
              <w:jc w:val="left"/>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rPr>
              <w:t>用于磁性</w:t>
            </w:r>
            <w:r>
              <w:rPr>
                <w:rFonts w:hint="eastAsia" w:ascii="Times New Roman" w:hAnsi="Times New Roman" w:eastAsia="微软雅黑" w:cs="Times New Roman"/>
                <w:sz w:val="18"/>
                <w:szCs w:val="18"/>
                <w:lang w:val="en-US" w:eastAsia="zh-CN"/>
              </w:rPr>
              <w:t>微粒</w:t>
            </w:r>
            <w:r>
              <w:rPr>
                <w:rFonts w:hint="eastAsia" w:ascii="Times New Roman" w:hAnsi="Times New Roman" w:eastAsia="微软雅黑" w:cs="Times New Roman"/>
                <w:sz w:val="18"/>
                <w:szCs w:val="18"/>
              </w:rPr>
              <w:t>的清洗及去除</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高通量操作可使用磁力棒</w:t>
            </w:r>
          </w:p>
        </w:tc>
      </w:tr>
      <w:tr w14:paraId="28CA8C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3695B180">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822" w:type="pct"/>
            <w:tcBorders>
              <w:top w:val="nil"/>
              <w:bottom w:val="nil"/>
            </w:tcBorders>
            <w:vAlign w:val="center"/>
          </w:tcPr>
          <w:p w14:paraId="69AC4171">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7060" cy="504825"/>
                  <wp:effectExtent l="0" t="0" r="2540" b="13335"/>
                  <wp:docPr id="7" name="图片 7" descr="恒温混匀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恒温混匀仪"/>
                          <pic:cNvPicPr>
                            <a:picLocks noChangeAspect="1"/>
                          </pic:cNvPicPr>
                        </pic:nvPicPr>
                        <pic:blipFill>
                          <a:blip r:embed="rId11">
                            <a:extLst>
                              <a:ext uri="{96DAC541-7B7A-43D3-8B79-37D633B846F1}">
                                <asvg:svgBlip xmlns:asvg="http://schemas.microsoft.com/office/drawing/2016/SVG/main" r:embed="rId12"/>
                              </a:ext>
                            </a:extLst>
                          </a:blip>
                          <a:srcRect l="22839" t="16378" r="32914" b="18311"/>
                          <a:stretch>
                            <a:fillRect/>
                          </a:stretch>
                        </pic:blipFill>
                        <pic:spPr>
                          <a:xfrm>
                            <a:off x="0" y="0"/>
                            <a:ext cx="607060" cy="504825"/>
                          </a:xfrm>
                          <a:prstGeom prst="rect">
                            <a:avLst/>
                          </a:prstGeom>
                        </pic:spPr>
                      </pic:pic>
                    </a:graphicData>
                  </a:graphic>
                </wp:inline>
              </w:drawing>
            </w:r>
          </w:p>
        </w:tc>
        <w:tc>
          <w:tcPr>
            <w:tcW w:w="3256" w:type="pct"/>
            <w:tcBorders>
              <w:top w:val="nil"/>
              <w:bottom w:val="nil"/>
            </w:tcBorders>
            <w:vAlign w:val="center"/>
          </w:tcPr>
          <w:p w14:paraId="3833BE6C">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547E8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21" w:type="pct"/>
            <w:tcBorders>
              <w:top w:val="nil"/>
              <w:bottom w:val="nil"/>
            </w:tcBorders>
            <w:vAlign w:val="center"/>
          </w:tcPr>
          <w:p w14:paraId="680378A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822" w:type="pct"/>
            <w:tcBorders>
              <w:top w:val="nil"/>
              <w:bottom w:val="nil"/>
            </w:tcBorders>
            <w:vAlign w:val="center"/>
          </w:tcPr>
          <w:p w14:paraId="2379CCF8">
            <w:pPr>
              <w:spacing w:line="240" w:lineRule="auto"/>
              <w:jc w:val="center"/>
              <w:rPr>
                <w:rFonts w:hint="eastAsia" w:ascii="Times New Roman" w:hAnsi="Times New Roman" w:eastAsia="微软雅黑" w:cs="Times New Roman"/>
                <w:sz w:val="18"/>
                <w:szCs w:val="18"/>
                <w:lang w:eastAsia="zh-CN"/>
              </w:rPr>
            </w:pPr>
            <w:r>
              <w:drawing>
                <wp:inline distT="0" distB="0" distL="114300" distR="114300">
                  <wp:extent cx="666115" cy="582930"/>
                  <wp:effectExtent l="0" t="0" r="8255" b="127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3"/>
                          <a:stretch>
                            <a:fillRect/>
                          </a:stretch>
                        </pic:blipFill>
                        <pic:spPr>
                          <a:xfrm>
                            <a:off x="0" y="0"/>
                            <a:ext cx="666115" cy="582930"/>
                          </a:xfrm>
                          <a:prstGeom prst="rect">
                            <a:avLst/>
                          </a:prstGeom>
                          <a:noFill/>
                          <a:ln>
                            <a:noFill/>
                          </a:ln>
                        </pic:spPr>
                      </pic:pic>
                    </a:graphicData>
                  </a:graphic>
                </wp:inline>
              </w:drawing>
            </w:r>
          </w:p>
        </w:tc>
        <w:tc>
          <w:tcPr>
            <w:tcW w:w="3256" w:type="pct"/>
            <w:tcBorders>
              <w:top w:val="nil"/>
              <w:bottom w:val="nil"/>
            </w:tcBorders>
            <w:vAlign w:val="center"/>
          </w:tcPr>
          <w:p w14:paraId="7468F64B">
            <w:pPr>
              <w:spacing w:line="240" w:lineRule="auto"/>
              <w:jc w:val="left"/>
              <w:rPr>
                <w:rFonts w:hint="eastAsia" w:ascii="Times New Roman" w:hAnsi="Times New Roman" w:eastAsia="微软雅黑" w:cs="Times New Roman"/>
                <w:sz w:val="18"/>
                <w:szCs w:val="18"/>
                <w:lang w:val="en-US" w:eastAsia="zh-CN"/>
              </w:rPr>
            </w:pPr>
            <w:r>
              <w:rPr>
                <w:rFonts w:ascii="Times New Roman" w:hAnsi="Times New Roman" w:eastAsia="微软雅黑" w:cs="Times New Roman"/>
                <w:sz w:val="18"/>
                <w:szCs w:val="18"/>
              </w:rPr>
              <w:t>冷冻离心机用于蛋白提取，常温离心机用于肽段脱盐，适配器支持1.5/2ml离心管</w:t>
            </w:r>
            <w:r>
              <w:rPr>
                <w:rFonts w:hint="eastAsia" w:ascii="Times New Roman" w:hAnsi="Times New Roman" w:eastAsia="微软雅黑" w:cs="Times New Roman"/>
                <w:sz w:val="18"/>
                <w:szCs w:val="18"/>
                <w:lang w:eastAsia="zh-CN"/>
              </w:rPr>
              <w:t>，</w:t>
            </w:r>
            <w:r>
              <w:rPr>
                <w:rFonts w:hint="eastAsia" w:ascii="Times New Roman" w:hAnsi="Times New Roman" w:eastAsia="微软雅黑" w:cs="Times New Roman"/>
                <w:sz w:val="18"/>
                <w:szCs w:val="18"/>
                <w:lang w:val="en-US" w:eastAsia="zh-CN"/>
              </w:rPr>
              <w:t>高通量操作需要适配96孔板</w:t>
            </w:r>
          </w:p>
        </w:tc>
      </w:tr>
      <w:tr w14:paraId="2E47E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8" w:hRule="atLeast"/>
          <w:jc w:val="center"/>
        </w:trPr>
        <w:tc>
          <w:tcPr>
            <w:tcW w:w="921" w:type="pct"/>
            <w:tcBorders>
              <w:top w:val="nil"/>
              <w:bottom w:val="single" w:color="auto" w:sz="4" w:space="0"/>
            </w:tcBorders>
            <w:vAlign w:val="center"/>
          </w:tcPr>
          <w:p w14:paraId="44D71963">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822" w:type="pct"/>
            <w:tcBorders>
              <w:top w:val="nil"/>
              <w:bottom w:val="single" w:color="auto" w:sz="4" w:space="0"/>
            </w:tcBorders>
            <w:vAlign w:val="center"/>
          </w:tcPr>
          <w:p w14:paraId="7A5532D5">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0"/>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14"/>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vAlign w:val="center"/>
          </w:tcPr>
          <w:p w14:paraId="45A013DF">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4595C8EB">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3.2 试剂</w:t>
      </w:r>
    </w:p>
    <w:p w14:paraId="46BB2FD8">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Trifluoroacetic acid (TFA)  </w:t>
      </w:r>
    </w:p>
    <w:p w14:paraId="748A1E2A">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Acetonitrile (ACN), LC-MS Grade </w:t>
      </w:r>
    </w:p>
    <w:p w14:paraId="63C63ADE">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Water, LC-MS Grade  </w:t>
      </w:r>
    </w:p>
    <w:p w14:paraId="15F03FAB">
      <w:pPr>
        <w:widowControl/>
        <w:numPr>
          <w:ilvl w:val="0"/>
          <w:numId w:val="2"/>
        </w:numPr>
        <w:spacing w:line="240" w:lineRule="auto"/>
        <w:jc w:val="left"/>
        <w:rPr>
          <w:rFonts w:ascii="Times New Roman" w:hAnsi="Times New Roman" w:eastAsia="微软雅黑" w:cs="Times New Roman"/>
          <w:sz w:val="21"/>
          <w:szCs w:val="21"/>
        </w:rPr>
      </w:pPr>
      <w:r>
        <w:rPr>
          <w:rFonts w:ascii="Times New Roman" w:hAnsi="Times New Roman" w:eastAsia="微软雅黑" w:cs="Times New Roman"/>
          <w:color w:val="000000"/>
          <w:kern w:val="0"/>
          <w:sz w:val="21"/>
          <w:szCs w:val="21"/>
          <w:lang w:bidi="ar"/>
        </w:rPr>
        <w:t xml:space="preserve">Methanol (MeOH), Optima™ LC-MS Grade </w:t>
      </w:r>
    </w:p>
    <w:p w14:paraId="3AECC2DC">
      <w:pPr>
        <w:widowControl/>
        <w:numPr>
          <w:ilvl w:val="0"/>
          <w:numId w:val="2"/>
        </w:numPr>
        <w:spacing w:line="240" w:lineRule="auto"/>
        <w:jc w:val="left"/>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Low Protein Binding Microcentrifuge Tubes, 2.0 mL/1.5mL</w:t>
      </w:r>
    </w:p>
    <w:p w14:paraId="00030ED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4. 试剂准备</w:t>
      </w:r>
    </w:p>
    <w:p w14:paraId="5E10F6BF">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Condition buffer：</w:t>
      </w:r>
      <w:r>
        <w:rPr>
          <w:rFonts w:ascii="Times New Roman" w:hAnsi="Times New Roman" w:eastAsia="微软雅黑" w:cs="Times New Roman"/>
          <w:color w:val="000000"/>
          <w:kern w:val="0"/>
          <w:sz w:val="21"/>
          <w:szCs w:val="21"/>
          <w:lang w:bidi="ar"/>
        </w:rPr>
        <w:t>70%ACN，0.2%TFA，每个样本需要100μl，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700</w:t>
      </w:r>
      <w:r>
        <w:rPr>
          <w:rFonts w:ascii="Times New Roman" w:hAnsi="Times New Roman" w:eastAsia="微软雅黑" w:cs="Times New Roman"/>
          <w:color w:val="000000"/>
          <w:kern w:val="0"/>
          <w:sz w:val="21"/>
          <w:szCs w:val="21"/>
          <w:lang w:bidi="ar"/>
        </w:rPr>
        <w:t>μl无水乙腈中，混匀；</w:t>
      </w:r>
    </w:p>
    <w:p w14:paraId="2A446E14">
      <w:pPr>
        <w:widowControl/>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Wash buffer：</w:t>
      </w:r>
      <w:r>
        <w:rPr>
          <w:rFonts w:ascii="Times New Roman" w:hAnsi="Times New Roman" w:eastAsia="微软雅黑" w:cs="Times New Roman"/>
          <w:color w:val="000000"/>
          <w:kern w:val="0"/>
          <w:sz w:val="21"/>
          <w:szCs w:val="21"/>
          <w:lang w:bidi="ar"/>
        </w:rPr>
        <w:t>0.2%TFA，每个样本需要300μl，</w:t>
      </w:r>
      <w:r>
        <w:rPr>
          <w:rFonts w:hint="eastAsia" w:ascii="Times New Roman" w:hAnsi="Times New Roman" w:eastAsia="微软雅黑" w:cs="Times New Roman"/>
          <w:color w:val="000000"/>
          <w:kern w:val="0"/>
          <w:sz w:val="21"/>
          <w:szCs w:val="21"/>
          <w:lang w:val="en-US" w:eastAsia="zh-CN" w:bidi="ar"/>
        </w:rPr>
        <w:t>6</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2.994m</w:t>
      </w:r>
      <w:r>
        <w:rPr>
          <w:rFonts w:ascii="Times New Roman" w:hAnsi="Times New Roman" w:eastAsia="微软雅黑" w:cs="Times New Roman"/>
          <w:color w:val="000000"/>
          <w:kern w:val="0"/>
          <w:sz w:val="21"/>
          <w:szCs w:val="21"/>
          <w:lang w:bidi="ar"/>
        </w:rPr>
        <w:t>l超纯水，混匀；</w:t>
      </w:r>
    </w:p>
    <w:p w14:paraId="75A0E5F9">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b/>
          <w:bCs/>
          <w:color w:val="000000"/>
          <w:kern w:val="0"/>
          <w:sz w:val="21"/>
          <w:szCs w:val="21"/>
          <w:lang w:bidi="ar"/>
        </w:rPr>
        <w:t>Elution buffer：</w:t>
      </w:r>
      <w:r>
        <w:rPr>
          <w:rFonts w:ascii="Times New Roman" w:hAnsi="Times New Roman" w:eastAsia="微软雅黑" w:cs="Times New Roman"/>
          <w:color w:val="000000"/>
          <w:kern w:val="0"/>
          <w:sz w:val="21"/>
          <w:szCs w:val="21"/>
          <w:lang w:bidi="ar"/>
        </w:rPr>
        <w:t>90%ACN，0.2%TFA，每个样本需要</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μl TFA加入到</w:t>
      </w:r>
      <w:r>
        <w:rPr>
          <w:rFonts w:hint="eastAsia" w:ascii="Times New Roman" w:hAnsi="Times New Roman" w:eastAsia="微软雅黑" w:cs="Times New Roman"/>
          <w:color w:val="000000"/>
          <w:kern w:val="0"/>
          <w:sz w:val="21"/>
          <w:szCs w:val="21"/>
          <w:lang w:val="en-US" w:eastAsia="zh-CN" w:bidi="ar"/>
        </w:rPr>
        <w:t>98</w:t>
      </w:r>
      <w:r>
        <w:rPr>
          <w:rFonts w:ascii="Times New Roman" w:hAnsi="Times New Roman" w:eastAsia="微软雅黑" w:cs="Times New Roman"/>
          <w:color w:val="000000"/>
          <w:kern w:val="0"/>
          <w:sz w:val="21"/>
          <w:szCs w:val="21"/>
          <w:lang w:bidi="ar"/>
        </w:rPr>
        <w:t>μl超纯水和</w:t>
      </w:r>
      <w:r>
        <w:rPr>
          <w:rFonts w:hint="eastAsia" w:ascii="Times New Roman" w:hAnsi="Times New Roman" w:eastAsia="微软雅黑" w:cs="Times New Roman"/>
          <w:color w:val="000000"/>
          <w:kern w:val="0"/>
          <w:sz w:val="21"/>
          <w:szCs w:val="21"/>
          <w:lang w:val="en-US" w:eastAsia="zh-CN" w:bidi="ar"/>
        </w:rPr>
        <w:t>900</w:t>
      </w:r>
      <w:r>
        <w:rPr>
          <w:rFonts w:ascii="Times New Roman" w:hAnsi="Times New Roman" w:eastAsia="微软雅黑" w:cs="Times New Roman"/>
          <w:color w:val="000000"/>
          <w:kern w:val="0"/>
          <w:sz w:val="21"/>
          <w:szCs w:val="21"/>
          <w:lang w:bidi="ar"/>
        </w:rPr>
        <w:t>μl无水乙腈中，混匀。</w:t>
      </w:r>
    </w:p>
    <w:p w14:paraId="592C9E4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 操作过程</w:t>
      </w:r>
    </w:p>
    <w:p w14:paraId="15361E4B">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5.1  蛋白富集</w:t>
      </w:r>
    </w:p>
    <w:p w14:paraId="5BEA49CA">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a. </w:t>
      </w:r>
      <w:r>
        <w:rPr>
          <w:rFonts w:hint="eastAsia" w:ascii="Times New Roman" w:hAnsi="Times New Roman" w:eastAsia="微软雅黑" w:cs="Times New Roman"/>
          <w:color w:val="000000"/>
          <w:kern w:val="0"/>
          <w:sz w:val="21"/>
          <w:szCs w:val="21"/>
          <w:lang w:val="en-US" w:eastAsia="zh-CN" w:bidi="ar"/>
        </w:rPr>
        <w:t>使用前，取出试剂H通过吹打或者超声使磁珠分散均匀，</w:t>
      </w:r>
      <w:r>
        <w:rPr>
          <w:rFonts w:ascii="Times New Roman" w:hAnsi="Times New Roman" w:eastAsia="微软雅黑" w:cs="Times New Roman"/>
          <w:color w:val="000000"/>
          <w:kern w:val="0"/>
          <w:sz w:val="21"/>
          <w:szCs w:val="21"/>
          <w:lang w:bidi="ar"/>
        </w:rPr>
        <w:t>吸取</w:t>
      </w:r>
      <w:r>
        <w:rPr>
          <w:rFonts w:hint="eastAsia" w:ascii="Times New Roman" w:hAnsi="Times New Roman" w:eastAsia="微软雅黑" w:cs="Times New Roman"/>
          <w:color w:val="000000"/>
          <w:kern w:val="0"/>
          <w:sz w:val="21"/>
          <w:szCs w:val="21"/>
          <w:lang w:val="en-US" w:eastAsia="zh-CN" w:bidi="ar"/>
        </w:rPr>
        <w:t>100</w:t>
      </w:r>
      <w:r>
        <w:rPr>
          <w:rFonts w:ascii="Times New Roman" w:hAnsi="Times New Roman" w:eastAsia="微软雅黑" w:cs="Times New Roman"/>
          <w:color w:val="000000"/>
          <w:kern w:val="0"/>
          <w:sz w:val="21"/>
          <w:szCs w:val="21"/>
          <w:lang w:bidi="ar"/>
        </w:rPr>
        <w:t xml:space="preserve"> </w:t>
      </w:r>
      <w:r>
        <w:rPr>
          <w:rFonts w:hint="default" w:ascii="Times New Roman" w:hAnsi="Times New Roman" w:eastAsia="微软雅黑" w:cs="Times New Roman"/>
          <w:color w:val="000000"/>
          <w:kern w:val="0"/>
          <w:sz w:val="21"/>
          <w:szCs w:val="21"/>
          <w:lang w:val="en-US" w:eastAsia="zh-CN" w:bidi="ar"/>
        </w:rPr>
        <w:t>μ</w:t>
      </w:r>
      <w:r>
        <w:rPr>
          <w:rFonts w:ascii="Times New Roman" w:hAnsi="Times New Roman" w:eastAsia="微软雅黑" w:cs="Times New Roman"/>
          <w:color w:val="000000"/>
          <w:kern w:val="0"/>
          <w:sz w:val="21"/>
          <w:szCs w:val="21"/>
          <w:lang w:bidi="ar"/>
        </w:rPr>
        <w:t>l</w:t>
      </w:r>
      <w:r>
        <w:rPr>
          <w:rFonts w:hint="eastAsia" w:ascii="Times New Roman" w:hAnsi="Times New Roman" w:eastAsia="微软雅黑" w:cs="Times New Roman"/>
          <w:color w:val="000000"/>
          <w:kern w:val="0"/>
          <w:sz w:val="21"/>
          <w:szCs w:val="21"/>
          <w:lang w:bidi="ar"/>
        </w:rPr>
        <w:t>试剂</w:t>
      </w:r>
      <w:r>
        <w:rPr>
          <w:rFonts w:hint="eastAsia" w:ascii="Times New Roman" w:hAnsi="Times New Roman" w:eastAsia="微软雅黑" w:cs="Times New Roman"/>
          <w:color w:val="000000"/>
          <w:kern w:val="0"/>
          <w:sz w:val="21"/>
          <w:szCs w:val="21"/>
          <w:lang w:val="en-US" w:eastAsia="zh-CN" w:bidi="ar"/>
        </w:rPr>
        <w:t>H转移到S板中</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置于磁力棒上静置2min，</w:t>
      </w:r>
      <w:r>
        <w:rPr>
          <w:rFonts w:ascii="Times New Roman" w:hAnsi="Times New Roman" w:eastAsia="微软雅黑" w:cs="Times New Roman"/>
          <w:color w:val="000000"/>
          <w:kern w:val="0"/>
          <w:sz w:val="21"/>
          <w:szCs w:val="21"/>
          <w:lang w:bidi="ar"/>
        </w:rPr>
        <w:t>磁分离弃掉上清；</w:t>
      </w:r>
    </w:p>
    <w:p w14:paraId="3A1E81D3">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b. </w:t>
      </w:r>
      <w:r>
        <w:rPr>
          <w:rFonts w:hint="eastAsia" w:ascii="Times New Roman" w:hAnsi="Times New Roman" w:eastAsia="微软雅黑" w:cs="Times New Roman"/>
          <w:color w:val="000000"/>
          <w:kern w:val="0"/>
          <w:sz w:val="21"/>
          <w:szCs w:val="21"/>
          <w:lang w:val="en-US" w:eastAsia="zh-CN" w:bidi="ar"/>
        </w:rPr>
        <w:t>加入</w:t>
      </w:r>
      <w:r>
        <w:rPr>
          <w:rFonts w:ascii="Times New Roman" w:hAnsi="Times New Roman" w:eastAsia="微软雅黑" w:cs="Times New Roman"/>
          <w:color w:val="000000"/>
          <w:kern w:val="0"/>
          <w:sz w:val="21"/>
          <w:szCs w:val="21"/>
          <w:lang w:bidi="ar"/>
        </w:rPr>
        <w:t>100μl试剂G</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置于恒温混匀仪上，震荡清洗磁珠5min（1000 rpm，室温），</w:t>
      </w:r>
      <w:bookmarkStart w:id="0" w:name="OLE_LINK1"/>
      <w:r>
        <w:rPr>
          <w:rFonts w:hint="eastAsia" w:ascii="Times New Roman" w:hAnsi="Times New Roman" w:eastAsia="微软雅黑" w:cs="Times New Roman"/>
          <w:color w:val="000000"/>
          <w:kern w:val="0"/>
          <w:sz w:val="21"/>
          <w:szCs w:val="21"/>
          <w:lang w:val="en-US" w:eastAsia="zh-CN" w:bidi="ar"/>
        </w:rPr>
        <w:t>置于磁力棒上静置2min，</w:t>
      </w:r>
      <w:bookmarkEnd w:id="0"/>
      <w:r>
        <w:rPr>
          <w:rFonts w:ascii="Times New Roman" w:hAnsi="Times New Roman" w:eastAsia="微软雅黑" w:cs="Times New Roman"/>
          <w:color w:val="000000"/>
          <w:kern w:val="0"/>
          <w:sz w:val="21"/>
          <w:szCs w:val="21"/>
          <w:lang w:bidi="ar"/>
        </w:rPr>
        <w:t>磁分离弃掉上清；</w:t>
      </w:r>
    </w:p>
    <w:p w14:paraId="27DBB9BE">
      <w:pPr>
        <w:spacing w:line="240" w:lineRule="auto"/>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bidi="ar"/>
        </w:rPr>
        <w:t xml:space="preserve">c. </w:t>
      </w:r>
      <w:r>
        <w:rPr>
          <w:rFonts w:ascii="Times New Roman" w:hAnsi="Times New Roman" w:eastAsia="微软雅黑" w:cs="Times New Roman"/>
          <w:color w:val="000000"/>
          <w:kern w:val="0"/>
          <w:sz w:val="21"/>
          <w:szCs w:val="21"/>
          <w:lang w:bidi="ar"/>
        </w:rPr>
        <w:t>用100</w:t>
      </w:r>
      <w:bookmarkStart w:id="1" w:name="OLE_LINK6"/>
      <w:r>
        <w:rPr>
          <w:rFonts w:ascii="Times New Roman" w:hAnsi="Times New Roman" w:eastAsia="微软雅黑" w:cs="Times New Roman"/>
          <w:color w:val="000000"/>
          <w:kern w:val="0"/>
          <w:sz w:val="21"/>
          <w:szCs w:val="21"/>
          <w:lang w:bidi="ar"/>
        </w:rPr>
        <w:t xml:space="preserve"> </w:t>
      </w:r>
      <w:bookmarkStart w:id="2" w:name="OLE_LINK3"/>
      <w:r>
        <w:rPr>
          <w:rFonts w:ascii="Times New Roman" w:hAnsi="Times New Roman" w:eastAsia="微软雅黑" w:cs="Times New Roman"/>
          <w:color w:val="000000"/>
          <w:kern w:val="0"/>
          <w:sz w:val="21"/>
          <w:szCs w:val="21"/>
          <w:lang w:bidi="ar"/>
        </w:rPr>
        <w:t>μL</w:t>
      </w:r>
      <w:bookmarkEnd w:id="1"/>
      <w:bookmarkEnd w:id="2"/>
      <w:r>
        <w:rPr>
          <w:rFonts w:ascii="Times New Roman" w:hAnsi="Times New Roman" w:eastAsia="微软雅黑" w:cs="Times New Roman"/>
          <w:color w:val="000000"/>
          <w:kern w:val="0"/>
          <w:sz w:val="21"/>
          <w:szCs w:val="21"/>
          <w:lang w:bidi="ar"/>
        </w:rPr>
        <w:t xml:space="preserve"> 试剂G重悬</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，加入100 μL 血浆，置于</w:t>
      </w:r>
      <w:r>
        <w:rPr>
          <w:rFonts w:hint="eastAsia" w:ascii="Times New Roman" w:hAnsi="Times New Roman" w:eastAsia="微软雅黑" w:cs="Times New Roman"/>
          <w:color w:val="000000"/>
          <w:kern w:val="0"/>
          <w:sz w:val="21"/>
          <w:szCs w:val="21"/>
          <w:lang w:val="en-US" w:eastAsia="zh-CN" w:bidi="ar"/>
        </w:rPr>
        <w:t>恒温</w:t>
      </w:r>
      <w:r>
        <w:rPr>
          <w:rFonts w:ascii="Times New Roman" w:hAnsi="Times New Roman" w:eastAsia="微软雅黑" w:cs="Times New Roman"/>
          <w:color w:val="000000"/>
          <w:kern w:val="0"/>
          <w:sz w:val="21"/>
          <w:szCs w:val="21"/>
          <w:lang w:bidi="ar"/>
        </w:rPr>
        <w:t xml:space="preserve">混匀仪上，37 ℃ </w:t>
      </w:r>
      <w:r>
        <w:rPr>
          <w:rFonts w:hint="eastAsia" w:ascii="Times New Roman" w:hAnsi="Times New Roman" w:eastAsia="微软雅黑" w:cs="Times New Roman"/>
          <w:color w:val="000000"/>
          <w:kern w:val="0"/>
          <w:sz w:val="21"/>
          <w:szCs w:val="21"/>
          <w:lang w:val="en-US" w:eastAsia="zh-CN" w:bidi="ar"/>
        </w:rPr>
        <w:t>震荡</w:t>
      </w:r>
      <w:r>
        <w:rPr>
          <w:rFonts w:ascii="Times New Roman" w:hAnsi="Times New Roman" w:eastAsia="微软雅黑" w:cs="Times New Roman"/>
          <w:color w:val="000000"/>
          <w:kern w:val="0"/>
          <w:sz w:val="21"/>
          <w:szCs w:val="21"/>
          <w:lang w:bidi="ar"/>
        </w:rPr>
        <w:t>孵育1 h</w:t>
      </w:r>
      <w:r>
        <w:rPr>
          <w:rFonts w:hint="eastAsia" w:ascii="Times New Roman" w:hAnsi="Times New Roman" w:eastAsia="微软雅黑" w:cs="Times New Roman"/>
          <w:color w:val="000000"/>
          <w:kern w:val="0"/>
          <w:sz w:val="21"/>
          <w:szCs w:val="21"/>
          <w:lang w:val="en-US" w:eastAsia="zh-CN" w:bidi="ar"/>
        </w:rPr>
        <w:t>（1000 rpm）</w:t>
      </w:r>
      <w:r>
        <w:rPr>
          <w:rFonts w:ascii="Times New Roman" w:hAnsi="Times New Roman" w:eastAsia="微软雅黑" w:cs="Times New Roman"/>
          <w:color w:val="000000"/>
          <w:kern w:val="0"/>
          <w:sz w:val="21"/>
          <w:szCs w:val="21"/>
          <w:lang w:bidi="ar"/>
        </w:rPr>
        <w:t>；</w:t>
      </w:r>
    </w:p>
    <w:p w14:paraId="59C1C2D4">
      <w:pPr>
        <w:spacing w:line="240" w:lineRule="auto"/>
        <w:rPr>
          <w:rFonts w:ascii="Times New Roman" w:hAnsi="Times New Roman" w:eastAsia="微软雅黑" w:cs="Times New Roman"/>
          <w:color w:val="FF0000"/>
          <w:kern w:val="0"/>
          <w:sz w:val="21"/>
          <w:szCs w:val="21"/>
          <w:lang w:bidi="ar"/>
        </w:rPr>
      </w:pPr>
      <w:bookmarkStart w:id="3" w:name="OLE_LINK4"/>
      <w:r>
        <w:rPr>
          <w:rFonts w:hint="eastAsia" w:ascii="Times New Roman" w:hAnsi="Times New Roman" w:eastAsia="微软雅黑" w:cs="Times New Roman"/>
          <w:color w:val="000000"/>
          <w:kern w:val="0"/>
          <w:sz w:val="21"/>
          <w:szCs w:val="21"/>
          <w:lang w:bidi="ar"/>
        </w:rPr>
        <w:t xml:space="preserve">d. </w:t>
      </w:r>
      <w:r>
        <w:rPr>
          <w:rFonts w:hint="eastAsia" w:ascii="Times New Roman" w:hAnsi="Times New Roman" w:eastAsia="微软雅黑" w:cs="Times New Roman"/>
          <w:color w:val="000000"/>
          <w:kern w:val="0"/>
          <w:sz w:val="21"/>
          <w:szCs w:val="21"/>
          <w:lang w:val="en-US" w:eastAsia="zh-CN" w:bidi="ar"/>
        </w:rPr>
        <w:t>孵育结束后将S板</w:t>
      </w:r>
      <w:r>
        <w:rPr>
          <w:rFonts w:hint="eastAsia" w:ascii="Times New Roman" w:hAnsi="Times New Roman" w:eastAsia="微软雅黑" w:cs="Times New Roman"/>
          <w:color w:val="000000"/>
          <w:kern w:val="0"/>
          <w:sz w:val="21"/>
          <w:szCs w:val="21"/>
          <w:lang w:bidi="ar"/>
        </w:rPr>
        <w:t>置于磁力</w:t>
      </w:r>
      <w:r>
        <w:rPr>
          <w:rFonts w:hint="eastAsia" w:ascii="Times New Roman" w:hAnsi="Times New Roman" w:eastAsia="微软雅黑" w:cs="Times New Roman"/>
          <w:color w:val="000000"/>
          <w:kern w:val="0"/>
          <w:sz w:val="21"/>
          <w:szCs w:val="21"/>
          <w:lang w:val="en-US" w:eastAsia="zh-CN" w:bidi="ar"/>
        </w:rPr>
        <w:t>棒</w:t>
      </w:r>
      <w:r>
        <w:rPr>
          <w:rFonts w:hint="eastAsia" w:ascii="Times New Roman" w:hAnsi="Times New Roman" w:eastAsia="微软雅黑" w:cs="Times New Roman"/>
          <w:color w:val="000000"/>
          <w:kern w:val="0"/>
          <w:sz w:val="21"/>
          <w:szCs w:val="21"/>
          <w:lang w:bidi="ar"/>
        </w:rPr>
        <w:t>上静置2min，</w:t>
      </w:r>
      <w:r>
        <w:rPr>
          <w:rFonts w:ascii="Times New Roman" w:hAnsi="Times New Roman" w:eastAsia="微软雅黑" w:cs="Times New Roman"/>
          <w:color w:val="000000"/>
          <w:kern w:val="0"/>
          <w:sz w:val="21"/>
          <w:szCs w:val="21"/>
          <w:lang w:bidi="ar"/>
        </w:rPr>
        <w:t>磁分离弃掉上清</w:t>
      </w:r>
      <w:bookmarkEnd w:id="3"/>
      <w:r>
        <w:rPr>
          <w:rFonts w:ascii="Times New Roman" w:hAnsi="Times New Roman" w:eastAsia="微软雅黑" w:cs="Times New Roman"/>
          <w:color w:val="000000"/>
          <w:kern w:val="0"/>
          <w:sz w:val="21"/>
          <w:szCs w:val="21"/>
          <w:lang w:bidi="ar"/>
        </w:rPr>
        <w:t>，加入 300 μL试剂G，震荡清洗5</w:t>
      </w:r>
      <w:r>
        <w:rPr>
          <w:rFonts w:hint="eastAsia" w:ascii="Times New Roman" w:hAnsi="Times New Roman" w:eastAsia="微软雅黑" w:cs="Times New Roman"/>
          <w:color w:val="000000"/>
          <w:kern w:val="0"/>
          <w:sz w:val="21"/>
          <w:szCs w:val="21"/>
          <w:lang w:val="en-US" w:eastAsia="zh-CN" w:bidi="ar"/>
        </w:rPr>
        <w:t xml:space="preserve"> min</w:t>
      </w:r>
      <w:r>
        <w:rPr>
          <w:rFonts w:ascii="Times New Roman" w:hAnsi="Times New Roman" w:eastAsia="微软雅黑" w:cs="Times New Roman"/>
          <w:color w:val="000000"/>
          <w:kern w:val="0"/>
          <w:sz w:val="21"/>
          <w:szCs w:val="21"/>
          <w:lang w:bidi="ar"/>
        </w:rPr>
        <w:t>，重复清洗三次，</w:t>
      </w:r>
      <w:r>
        <w:rPr>
          <w:rFonts w:hint="eastAsia" w:ascii="Times New Roman" w:hAnsi="Times New Roman" w:eastAsia="微软雅黑" w:cs="Times New Roman"/>
          <w:color w:val="000000"/>
          <w:kern w:val="0"/>
          <w:sz w:val="21"/>
          <w:szCs w:val="21"/>
          <w:lang w:val="en-US" w:eastAsia="zh-CN" w:bidi="ar"/>
        </w:rPr>
        <w:t>磁珠</w:t>
      </w:r>
      <w:r>
        <w:rPr>
          <w:rFonts w:ascii="Times New Roman" w:hAnsi="Times New Roman" w:eastAsia="微软雅黑" w:cs="Times New Roman"/>
          <w:color w:val="000000"/>
          <w:kern w:val="0"/>
          <w:sz w:val="21"/>
          <w:szCs w:val="21"/>
          <w:lang w:bidi="ar"/>
        </w:rPr>
        <w:t>上即为富集到的</w:t>
      </w:r>
      <w:r>
        <w:rPr>
          <w:rFonts w:hint="eastAsia" w:ascii="Times New Roman" w:hAnsi="Times New Roman" w:eastAsia="微软雅黑" w:cs="Times New Roman"/>
          <w:color w:val="000000"/>
          <w:kern w:val="0"/>
          <w:sz w:val="21"/>
          <w:szCs w:val="21"/>
          <w:lang w:val="en-US" w:eastAsia="zh-CN" w:bidi="ar"/>
        </w:rPr>
        <w:t>低丰度</w:t>
      </w:r>
      <w:r>
        <w:rPr>
          <w:rFonts w:ascii="Times New Roman" w:hAnsi="Times New Roman" w:eastAsia="微软雅黑" w:cs="Times New Roman"/>
          <w:color w:val="000000"/>
          <w:kern w:val="0"/>
          <w:sz w:val="21"/>
          <w:szCs w:val="21"/>
          <w:lang w:bidi="ar"/>
        </w:rPr>
        <w:t>蛋白</w:t>
      </w:r>
      <w:r>
        <w:rPr>
          <w:rFonts w:hint="eastAsia" w:ascii="Times New Roman" w:hAnsi="Times New Roman" w:eastAsia="微软雅黑" w:cs="Times New Roman"/>
          <w:color w:val="FF0000"/>
          <w:kern w:val="0"/>
          <w:sz w:val="21"/>
          <w:szCs w:val="21"/>
          <w:lang w:bidi="ar"/>
        </w:rPr>
        <w:t>（此步骤为关键步骤，建议每次清洗置于恒温混匀仪上1</w:t>
      </w:r>
      <w:r>
        <w:rPr>
          <w:rFonts w:hint="eastAsia" w:ascii="Times New Roman" w:hAnsi="Times New Roman" w:eastAsia="微软雅黑" w:cs="Times New Roman"/>
          <w:color w:val="FF0000"/>
          <w:kern w:val="0"/>
          <w:sz w:val="21"/>
          <w:szCs w:val="21"/>
          <w:lang w:val="en-US" w:eastAsia="zh-CN" w:bidi="ar"/>
        </w:rPr>
        <w:t>0</w:t>
      </w:r>
      <w:r>
        <w:rPr>
          <w:rFonts w:hint="eastAsia" w:ascii="Times New Roman" w:hAnsi="Times New Roman" w:eastAsia="微软雅黑" w:cs="Times New Roman"/>
          <w:color w:val="FF0000"/>
          <w:kern w:val="0"/>
          <w:sz w:val="21"/>
          <w:szCs w:val="21"/>
          <w:lang w:bidi="ar"/>
        </w:rPr>
        <w:t>00</w:t>
      </w:r>
      <w:r>
        <w:rPr>
          <w:rFonts w:hint="eastAsia" w:ascii="Times New Roman" w:hAnsi="Times New Roman" w:eastAsia="微软雅黑" w:cs="Times New Roman"/>
          <w:color w:val="FF0000"/>
          <w:kern w:val="0"/>
          <w:sz w:val="21"/>
          <w:szCs w:val="21"/>
          <w:lang w:val="en-US" w:eastAsia="zh-CN" w:bidi="ar"/>
        </w:rPr>
        <w:t xml:space="preserve"> </w:t>
      </w:r>
      <w:r>
        <w:rPr>
          <w:rFonts w:hint="eastAsia" w:ascii="Times New Roman" w:hAnsi="Times New Roman" w:eastAsia="微软雅黑" w:cs="Times New Roman"/>
          <w:color w:val="FF0000"/>
          <w:kern w:val="0"/>
          <w:sz w:val="21"/>
          <w:szCs w:val="21"/>
          <w:lang w:bidi="ar"/>
        </w:rPr>
        <w:t>rpm震荡清洗5</w:t>
      </w:r>
      <w:r>
        <w:rPr>
          <w:rFonts w:hint="eastAsia" w:ascii="Times New Roman" w:hAnsi="Times New Roman" w:eastAsia="微软雅黑" w:cs="Times New Roman"/>
          <w:color w:val="FF0000"/>
          <w:kern w:val="0"/>
          <w:sz w:val="21"/>
          <w:szCs w:val="21"/>
          <w:lang w:val="en-US" w:eastAsia="zh-CN" w:bidi="ar"/>
        </w:rPr>
        <w:t xml:space="preserve"> </w:t>
      </w:r>
      <w:r>
        <w:rPr>
          <w:rFonts w:hint="eastAsia" w:ascii="Times New Roman" w:hAnsi="Times New Roman" w:eastAsia="微软雅黑" w:cs="Times New Roman"/>
          <w:color w:val="FF0000"/>
          <w:kern w:val="0"/>
          <w:sz w:val="21"/>
          <w:szCs w:val="21"/>
          <w:lang w:bidi="ar"/>
        </w:rPr>
        <w:t>min，确保残留</w:t>
      </w:r>
      <w:r>
        <w:rPr>
          <w:rFonts w:hint="eastAsia" w:ascii="Times New Roman" w:hAnsi="Times New Roman" w:eastAsia="微软雅黑" w:cs="Times New Roman"/>
          <w:color w:val="FF0000"/>
          <w:kern w:val="0"/>
          <w:sz w:val="21"/>
          <w:szCs w:val="21"/>
          <w:lang w:val="en-US" w:eastAsia="zh-CN" w:bidi="ar"/>
        </w:rPr>
        <w:t>的</w:t>
      </w:r>
      <w:r>
        <w:rPr>
          <w:rFonts w:hint="eastAsia" w:ascii="Times New Roman" w:hAnsi="Times New Roman" w:eastAsia="微软雅黑" w:cs="Times New Roman"/>
          <w:color w:val="FF0000"/>
          <w:kern w:val="0"/>
          <w:sz w:val="21"/>
          <w:szCs w:val="21"/>
          <w:lang w:bidi="ar"/>
        </w:rPr>
        <w:t>高丰度蛋白清洗干净）</w:t>
      </w:r>
      <w:r>
        <w:rPr>
          <w:rFonts w:ascii="Times New Roman" w:hAnsi="Times New Roman" w:eastAsia="微软雅黑" w:cs="Times New Roman"/>
          <w:color w:val="000000"/>
          <w:kern w:val="0"/>
          <w:sz w:val="21"/>
          <w:szCs w:val="21"/>
          <w:lang w:bidi="ar"/>
        </w:rPr>
        <w:t>。</w:t>
      </w:r>
    </w:p>
    <w:p w14:paraId="62FD9369">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5.2 蛋白酶解</w:t>
      </w:r>
    </w:p>
    <w:p w14:paraId="1D47B84F">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a. 步骤5.1</w:t>
      </w:r>
      <w:r>
        <w:rPr>
          <w:rFonts w:hint="eastAsia" w:ascii="Times New Roman" w:hAnsi="Times New Roman" w:eastAsia="微软雅黑" w:cs="Times New Roman"/>
          <w:color w:val="000000"/>
          <w:kern w:val="0"/>
          <w:sz w:val="21"/>
          <w:szCs w:val="21"/>
          <w:lang w:bidi="ar"/>
        </w:rPr>
        <w:t xml:space="preserve"> d中清洗后的</w:t>
      </w:r>
      <w:r>
        <w:rPr>
          <w:rFonts w:hint="eastAsia" w:ascii="Times New Roman" w:hAnsi="Times New Roman" w:eastAsia="微软雅黑" w:cs="Times New Roman"/>
          <w:color w:val="000000"/>
          <w:kern w:val="0"/>
          <w:sz w:val="21"/>
          <w:szCs w:val="21"/>
          <w:lang w:val="en-US" w:eastAsia="zh-CN" w:bidi="ar"/>
        </w:rPr>
        <w:t>磁珠</w:t>
      </w:r>
      <w:r>
        <w:rPr>
          <w:rFonts w:hint="eastAsia" w:ascii="Times New Roman" w:hAnsi="Times New Roman" w:eastAsia="微软雅黑" w:cs="Times New Roman"/>
          <w:color w:val="000000"/>
          <w:kern w:val="0"/>
          <w:sz w:val="21"/>
          <w:szCs w:val="21"/>
          <w:lang w:bidi="ar"/>
        </w:rPr>
        <w:t>中加入40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l试剂A，吹打混匀；</w:t>
      </w:r>
    </w:p>
    <w:p w14:paraId="4695A7F3">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b. 95℃加热5min（95℃，1000</w:t>
      </w:r>
      <w:r>
        <w:rPr>
          <w:rFonts w:hint="eastAsia" w:ascii="Times New Roman" w:hAnsi="Times New Roman" w:eastAsia="微软雅黑" w:cs="Times New Roman"/>
          <w:color w:val="000000"/>
          <w:kern w:val="0"/>
          <w:sz w:val="21"/>
          <w:szCs w:val="21"/>
          <w:lang w:val="en-US" w:eastAsia="zh-CN" w:bidi="ar"/>
        </w:rPr>
        <w:t xml:space="preserve"> </w:t>
      </w:r>
      <w:r>
        <w:rPr>
          <w:rFonts w:ascii="Times New Roman" w:hAnsi="Times New Roman" w:eastAsia="微软雅黑" w:cs="Times New Roman"/>
          <w:color w:val="000000"/>
          <w:kern w:val="0"/>
          <w:sz w:val="21"/>
          <w:szCs w:val="21"/>
          <w:lang w:bidi="ar"/>
        </w:rPr>
        <w:t>rpm）；</w:t>
      </w:r>
    </w:p>
    <w:p w14:paraId="0BE2C459">
      <w:pPr>
        <w:spacing w:line="240" w:lineRule="auto"/>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c. 加热结束待样品恢复至室温后，加入</w:t>
      </w:r>
      <w:r>
        <w:rPr>
          <w:rFonts w:hint="eastAsia" w:ascii="Times New Roman" w:hAnsi="Times New Roman" w:eastAsia="微软雅黑" w:cs="Times New Roman"/>
          <w:color w:val="000000"/>
          <w:kern w:val="0"/>
          <w:sz w:val="21"/>
          <w:szCs w:val="21"/>
          <w:lang w:val="en-US" w:eastAsia="zh-CN" w:bidi="ar"/>
        </w:rPr>
        <w:t>15</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B</w:t>
      </w:r>
      <w:r>
        <w:rPr>
          <w:rFonts w:ascii="Times New Roman" w:hAnsi="Times New Roman" w:eastAsia="微软雅黑" w:cs="Times New Roman"/>
          <w:color w:val="000000"/>
          <w:kern w:val="0"/>
          <w:sz w:val="21"/>
          <w:szCs w:val="21"/>
          <w:lang w:bidi="ar"/>
        </w:rPr>
        <w:t>，混匀，37℃酶解</w:t>
      </w:r>
      <w:r>
        <w:rPr>
          <w:rFonts w:hint="eastAsia" w:ascii="Times New Roman" w:hAnsi="Times New Roman" w:eastAsia="微软雅黑" w:cs="Times New Roman"/>
          <w:color w:val="000000"/>
          <w:kern w:val="0"/>
          <w:sz w:val="21"/>
          <w:szCs w:val="21"/>
          <w:lang w:bidi="ar"/>
        </w:rPr>
        <w:t>2h</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37</w:t>
      </w:r>
      <w:r>
        <w:rPr>
          <w:rFonts w:ascii="Times New Roman" w:hAnsi="Times New Roman" w:eastAsia="微软雅黑" w:cs="Times New Roman"/>
          <w:color w:val="000000"/>
          <w:kern w:val="0"/>
          <w:sz w:val="21"/>
          <w:szCs w:val="21"/>
          <w:lang w:bidi="ar"/>
        </w:rPr>
        <w:t>℃，1000</w:t>
      </w:r>
      <w:r>
        <w:rPr>
          <w:rFonts w:hint="eastAsia" w:ascii="Times New Roman" w:hAnsi="Times New Roman" w:eastAsia="微软雅黑" w:cs="Times New Roman"/>
          <w:color w:val="000000"/>
          <w:kern w:val="0"/>
          <w:sz w:val="21"/>
          <w:szCs w:val="21"/>
          <w:lang w:val="en-US" w:eastAsia="zh-CN" w:bidi="ar"/>
        </w:rPr>
        <w:t xml:space="preserve"> </w:t>
      </w:r>
      <w:r>
        <w:rPr>
          <w:rFonts w:ascii="Times New Roman" w:hAnsi="Times New Roman" w:eastAsia="微软雅黑" w:cs="Times New Roman"/>
          <w:color w:val="000000"/>
          <w:kern w:val="0"/>
          <w:sz w:val="21"/>
          <w:szCs w:val="21"/>
          <w:lang w:bidi="ar"/>
        </w:rPr>
        <w:t>rpm）；</w:t>
      </w:r>
    </w:p>
    <w:p w14:paraId="6A261641">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color w:val="000000"/>
          <w:kern w:val="0"/>
          <w:sz w:val="21"/>
          <w:szCs w:val="21"/>
          <w:lang w:bidi="ar"/>
        </w:rPr>
        <w:t>d. 酶解结束后加入</w:t>
      </w:r>
      <w:r>
        <w:rPr>
          <w:rFonts w:hint="eastAsia" w:ascii="Times New Roman" w:hAnsi="Times New Roman" w:eastAsia="微软雅黑" w:cs="Times New Roman"/>
          <w:color w:val="000000"/>
          <w:kern w:val="0"/>
          <w:sz w:val="21"/>
          <w:szCs w:val="21"/>
          <w:lang w:val="en-US" w:eastAsia="zh-CN" w:bidi="ar"/>
        </w:rPr>
        <w:t>4</w:t>
      </w:r>
      <w:r>
        <w:rPr>
          <w:rFonts w:hint="eastAsia" w:ascii="Times New Roman" w:hAnsi="Times New Roman" w:eastAsia="微软雅黑" w:cs="Times New Roman"/>
          <w:color w:val="000000"/>
          <w:kern w:val="0"/>
          <w:sz w:val="21"/>
          <w:szCs w:val="21"/>
          <w:lang w:bidi="ar"/>
        </w:rPr>
        <w:t xml:space="preserve"> </w:t>
      </w:r>
      <w:r>
        <w:rPr>
          <w:rFonts w:ascii="Times New Roman" w:hAnsi="Times New Roman" w:eastAsia="微软雅黑" w:cs="Times New Roman"/>
          <w:color w:val="000000"/>
          <w:kern w:val="0"/>
          <w:sz w:val="21"/>
          <w:szCs w:val="21"/>
          <w:lang w:bidi="ar"/>
        </w:rPr>
        <w:t>μl试剂</w:t>
      </w:r>
      <w:r>
        <w:rPr>
          <w:rFonts w:hint="eastAsia" w:ascii="Times New Roman" w:hAnsi="Times New Roman" w:eastAsia="微软雅黑" w:cs="Times New Roman"/>
          <w:color w:val="000000"/>
          <w:kern w:val="0"/>
          <w:sz w:val="21"/>
          <w:szCs w:val="21"/>
          <w:lang w:val="en-US" w:eastAsia="zh-CN" w:bidi="ar"/>
        </w:rPr>
        <w:t>C</w:t>
      </w:r>
      <w:r>
        <w:rPr>
          <w:rFonts w:ascii="Times New Roman" w:hAnsi="Times New Roman" w:eastAsia="微软雅黑" w:cs="Times New Roman"/>
          <w:color w:val="000000"/>
          <w:kern w:val="0"/>
          <w:sz w:val="21"/>
          <w:szCs w:val="21"/>
          <w:lang w:bidi="ar"/>
        </w:rPr>
        <w:t>，混匀，终止酶解反应，此时会有沉淀出现，20000g离心1min</w:t>
      </w:r>
      <w:r>
        <w:rPr>
          <w:rFonts w:hint="eastAsia" w:ascii="Times New Roman" w:hAnsi="Times New Roman" w:eastAsia="微软雅黑" w:cs="Times New Roman"/>
          <w:color w:val="000000"/>
          <w:kern w:val="0"/>
          <w:sz w:val="21"/>
          <w:szCs w:val="21"/>
          <w:lang w:bidi="ar"/>
        </w:rPr>
        <w:t>后</w:t>
      </w:r>
      <w:r>
        <w:rPr>
          <w:rFonts w:ascii="Times New Roman" w:hAnsi="Times New Roman" w:eastAsia="微软雅黑" w:cs="Times New Roman"/>
          <w:color w:val="000000"/>
          <w:kern w:val="0"/>
          <w:sz w:val="21"/>
          <w:szCs w:val="21"/>
          <w:lang w:bidi="ar"/>
        </w:rPr>
        <w:t>吸取上清待后续</w:t>
      </w:r>
      <w:r>
        <w:rPr>
          <w:rFonts w:hint="eastAsia" w:ascii="Times New Roman" w:hAnsi="Times New Roman" w:eastAsia="微软雅黑" w:cs="Times New Roman"/>
          <w:color w:val="000000"/>
          <w:kern w:val="0"/>
          <w:sz w:val="21"/>
          <w:szCs w:val="21"/>
          <w:lang w:bidi="ar"/>
        </w:rPr>
        <w:t>脱</w:t>
      </w:r>
      <w:r>
        <w:rPr>
          <w:rFonts w:ascii="Times New Roman" w:hAnsi="Times New Roman" w:eastAsia="微软雅黑" w:cs="Times New Roman"/>
          <w:color w:val="000000"/>
          <w:kern w:val="0"/>
          <w:sz w:val="21"/>
          <w:szCs w:val="21"/>
          <w:lang w:bidi="ar"/>
        </w:rPr>
        <w:t>盐。</w:t>
      </w:r>
    </w:p>
    <w:p w14:paraId="52123825">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5.3 肽段脱盐</w:t>
      </w:r>
    </w:p>
    <w:p w14:paraId="74AF09D4">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将Cartridge插入Adaptor上置于Waste板中；</w:t>
      </w:r>
    </w:p>
    <w:p w14:paraId="438E6FD4">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活化：100μl甲醇加入到脱盐柱中，700g离心1min；</w:t>
      </w:r>
    </w:p>
    <w:p w14:paraId="2AF9103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去杂质：100μl Condition buffer加入到脱盐柱中，700g离心1min；</w:t>
      </w:r>
    </w:p>
    <w:p w14:paraId="1E0E24A5">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平衡：100μl Wash buffer加入到脱盐柱中，700g离心1min</w:t>
      </w:r>
      <w:r>
        <w:rPr>
          <w:rFonts w:hint="eastAsia" w:ascii="Times New Roman" w:hAnsi="Times New Roman" w:eastAsia="微软雅黑" w:cs="Times New Roman"/>
          <w:color w:val="000000"/>
          <w:kern w:val="0"/>
          <w:sz w:val="21"/>
          <w:szCs w:val="21"/>
          <w:lang w:val="en-US" w:eastAsia="zh-CN" w:bidi="ar"/>
        </w:rPr>
        <w:t>，弃掉Waste板中的废液后，重新将Adaptor置于Waste板上</w:t>
      </w:r>
      <w:r>
        <w:rPr>
          <w:rFonts w:hint="default" w:ascii="Times New Roman" w:hAnsi="Times New Roman" w:eastAsia="微软雅黑" w:cs="Times New Roman"/>
          <w:color w:val="000000"/>
          <w:kern w:val="0"/>
          <w:sz w:val="21"/>
          <w:szCs w:val="21"/>
          <w:lang w:val="en-US" w:eastAsia="zh-CN" w:bidi="ar"/>
        </w:rPr>
        <w:t>；</w:t>
      </w:r>
    </w:p>
    <w:p w14:paraId="24395F5E">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加载样本：将样本全部加载到脱盐柱中，700g离心1min，重复操作一次；</w:t>
      </w:r>
      <w:r>
        <w:rPr>
          <w:rFonts w:hint="default" w:ascii="Times New Roman" w:hAnsi="Times New Roman" w:eastAsia="微软雅黑" w:cs="Times New Roman"/>
          <w:color w:val="FF0000"/>
          <w:kern w:val="0"/>
          <w:sz w:val="21"/>
          <w:szCs w:val="21"/>
          <w:lang w:val="en-US" w:eastAsia="zh-CN" w:bidi="ar"/>
        </w:rPr>
        <w:t>（</w:t>
      </w:r>
      <w:r>
        <w:rPr>
          <w:rFonts w:hint="eastAsia" w:ascii="Times New Roman" w:hAnsi="Times New Roman" w:eastAsia="微软雅黑" w:cs="Times New Roman"/>
          <w:color w:val="FF0000"/>
          <w:kern w:val="0"/>
          <w:sz w:val="21"/>
          <w:szCs w:val="21"/>
          <w:lang w:val="en-US" w:eastAsia="zh-CN" w:bidi="ar"/>
        </w:rPr>
        <w:t>加样前测试样本的pH是否&lt; 3</w:t>
      </w:r>
      <w:r>
        <w:rPr>
          <w:rFonts w:hint="default" w:ascii="Times New Roman" w:hAnsi="Times New Roman" w:eastAsia="微软雅黑" w:cs="Times New Roman"/>
          <w:b w:val="0"/>
          <w:bCs w:val="0"/>
          <w:color w:val="FF0000"/>
          <w:kern w:val="0"/>
          <w:sz w:val="21"/>
          <w:szCs w:val="21"/>
          <w:lang w:val="en-US" w:eastAsia="zh-CN" w:bidi="ar"/>
        </w:rPr>
        <w:t>，</w:t>
      </w:r>
      <w:r>
        <w:rPr>
          <w:rFonts w:hint="eastAsia" w:ascii="Times New Roman" w:hAnsi="Times New Roman" w:eastAsia="微软雅黑" w:cs="Times New Roman"/>
          <w:b w:val="0"/>
          <w:bCs w:val="0"/>
          <w:color w:val="FF0000"/>
          <w:kern w:val="0"/>
          <w:sz w:val="21"/>
          <w:szCs w:val="21"/>
          <w:lang w:val="en-US" w:eastAsia="zh-CN" w:bidi="ar"/>
        </w:rPr>
        <w:t>使用20%TFA</w:t>
      </w:r>
      <w:r>
        <w:rPr>
          <w:rFonts w:hint="default" w:ascii="Times New Roman" w:hAnsi="Times New Roman" w:eastAsia="微软雅黑" w:cs="Times New Roman"/>
          <w:b w:val="0"/>
          <w:bCs w:val="0"/>
          <w:color w:val="FF0000"/>
          <w:kern w:val="0"/>
          <w:sz w:val="21"/>
          <w:szCs w:val="21"/>
          <w:lang w:val="en-US" w:eastAsia="zh-CN" w:bidi="ar"/>
        </w:rPr>
        <w:t>调pH＜3后加载样本</w:t>
      </w:r>
      <w:r>
        <w:rPr>
          <w:rFonts w:hint="default" w:ascii="Times New Roman" w:hAnsi="Times New Roman" w:eastAsia="微软雅黑" w:cs="Times New Roman"/>
          <w:color w:val="FF0000"/>
          <w:kern w:val="0"/>
          <w:sz w:val="21"/>
          <w:szCs w:val="21"/>
          <w:lang w:val="en-US" w:eastAsia="zh-CN" w:bidi="ar"/>
        </w:rPr>
        <w:t>）</w:t>
      </w:r>
    </w:p>
    <w:p w14:paraId="2356872D">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Cartridge（</w:t>
      </w:r>
      <w:r>
        <w:rPr>
          <w:rFonts w:hint="default" w:ascii="Times New Roman" w:hAnsi="Times New Roman" w:eastAsia="微软雅黑" w:cs="Times New Roman"/>
          <w:color w:val="000000"/>
          <w:kern w:val="0"/>
          <w:sz w:val="21"/>
          <w:szCs w:val="21"/>
          <w:lang w:val="en-US" w:eastAsia="zh-CN" w:bidi="ar"/>
        </w:rPr>
        <w:t>脱盐柱</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清洗：100μl Wash buffer加入到脱盐柱中，700g离心1min，重复操作一次；</w:t>
      </w:r>
    </w:p>
    <w:p w14:paraId="5AEC358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将放有Cartridge的Adaptor转移至新的Collection板上；</w:t>
      </w:r>
    </w:p>
    <w:p w14:paraId="3683F351">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样本洗脱：</w:t>
      </w:r>
      <w:r>
        <w:rPr>
          <w:rFonts w:hint="eastAsia" w:ascii="Times New Roman" w:hAnsi="Times New Roman" w:eastAsia="微软雅黑" w:cs="Times New Roman"/>
          <w:color w:val="000000"/>
          <w:kern w:val="0"/>
          <w:sz w:val="21"/>
          <w:szCs w:val="21"/>
          <w:lang w:val="en-US" w:eastAsia="zh-CN" w:bidi="ar"/>
        </w:rPr>
        <w:t>5</w:t>
      </w:r>
      <w:r>
        <w:rPr>
          <w:rFonts w:hint="default" w:ascii="Times New Roman" w:hAnsi="Times New Roman" w:eastAsia="微软雅黑" w:cs="Times New Roman"/>
          <w:color w:val="000000"/>
          <w:kern w:val="0"/>
          <w:sz w:val="21"/>
          <w:szCs w:val="21"/>
          <w:lang w:val="en-US" w:eastAsia="zh-CN" w:bidi="ar"/>
        </w:rPr>
        <w:t>0μl Elution buffer加入到脱盐柱中，700g离心1min，洗脱两次，最终样本体积为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hint="default" w:ascii="Times New Roman" w:hAnsi="Times New Roman" w:eastAsia="微软雅黑" w:cs="Times New Roman"/>
          <w:color w:val="000000"/>
          <w:kern w:val="0"/>
          <w:sz w:val="21"/>
          <w:szCs w:val="21"/>
          <w:lang w:val="en-US" w:eastAsia="zh-CN" w:bidi="ar"/>
        </w:rPr>
        <w:t>0μl；</w:t>
      </w:r>
    </w:p>
    <w:p w14:paraId="1B08B5DA">
      <w:pPr>
        <w:keepNext w:val="0"/>
        <w:keepLines w:val="0"/>
        <w:pageBreakBefore w:val="0"/>
        <w:widowControl/>
        <w:numPr>
          <w:ilvl w:val="0"/>
          <w:numId w:val="3"/>
        </w:numPr>
        <w:suppressLineNumbers w:val="0"/>
        <w:kinsoku/>
        <w:wordWrap/>
        <w:overflowPunct/>
        <w:topLinePunct w:val="0"/>
        <w:autoSpaceDE/>
        <w:autoSpaceDN/>
        <w:bidi w:val="0"/>
        <w:adjustRightInd/>
        <w:snapToGrid/>
        <w:spacing w:before="157" w:beforeLines="50" w:after="157" w:afterLines="50" w:line="400" w:lineRule="exact"/>
        <w:ind w:left="425" w:leftChars="0" w:hanging="425" w:firstLineChars="0"/>
        <w:jc w:val="left"/>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val="en-US" w:eastAsia="zh-CN" w:bidi="ar"/>
        </w:rPr>
        <w:t>真空冷冻离心浓缩仪浓缩样本。</w:t>
      </w:r>
    </w:p>
    <w:p w14:paraId="0A27C7F6">
      <w:pPr>
        <w:spacing w:line="240" w:lineRule="auto"/>
        <w:rPr>
          <w:rFonts w:ascii="Times New Roman" w:hAnsi="Times New Roman" w:eastAsia="微软雅黑" w:cs="Times New Roman"/>
          <w:b/>
          <w:bCs/>
          <w:sz w:val="21"/>
          <w:szCs w:val="21"/>
        </w:rPr>
      </w:pPr>
      <w:r>
        <w:rPr>
          <w:rFonts w:ascii="Times New Roman" w:hAnsi="Times New Roman" w:eastAsia="微软雅黑" w:cs="Times New Roman"/>
          <w:b/>
          <w:bCs/>
          <w:sz w:val="21"/>
          <w:szCs w:val="21"/>
        </w:rPr>
        <w:t>6. 注意事项</w:t>
      </w:r>
    </w:p>
    <w:p w14:paraId="740C07A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）放置10min，待结晶重新溶解后混合均匀使用；</w:t>
      </w:r>
    </w:p>
    <w:p w14:paraId="78B90D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7DD3A6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0B40F0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w:t>
      </w:r>
      <w:r>
        <w:rPr>
          <w:rFonts w:ascii="Times New Roman" w:hAnsi="Times New Roman" w:eastAsia="微软雅黑" w:cs="Times New Roman"/>
          <w:color w:val="000000"/>
          <w:kern w:val="0"/>
          <w:sz w:val="18"/>
          <w:szCs w:val="18"/>
          <w:lang w:bidi="ar"/>
        </w:rPr>
        <w:t>有大量沉淀出现属于正常情况，高速离心后即可进行后续实验；</w:t>
      </w:r>
    </w:p>
    <w:p w14:paraId="084C79C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2FD9C1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1036D32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071"/>
        <w:gridCol w:w="2451"/>
      </w:tblGrid>
      <w:tr w14:paraId="26899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6071" w:type="dxa"/>
          </w:tcPr>
          <w:p w14:paraId="752DD09F">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985" b="6985"/>
                  <wp:docPr id="2"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ode"/>
                          <pic:cNvPicPr>
                            <a:picLocks noChangeAspect="1"/>
                          </pic:cNvPicPr>
                        </pic:nvPicPr>
                        <pic:blipFill>
                          <a:blip r:embed="rId15"/>
                          <a:stretch>
                            <a:fillRect/>
                          </a:stretch>
                        </pic:blipFill>
                        <pic:spPr>
                          <a:xfrm>
                            <a:off x="0" y="0"/>
                            <a:ext cx="666115" cy="666115"/>
                          </a:xfrm>
                          <a:prstGeom prst="rect">
                            <a:avLst/>
                          </a:prstGeom>
                        </pic:spPr>
                      </pic:pic>
                    </a:graphicData>
                  </a:graphic>
                </wp:inline>
              </w:drawing>
            </w:r>
          </w:p>
        </w:tc>
        <w:tc>
          <w:tcPr>
            <w:tcW w:w="2451" w:type="dxa"/>
            <w:vAlign w:val="center"/>
          </w:tcPr>
          <w:p w14:paraId="4D5B5F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6DD3C0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21DA4DC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0558CD08">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440" w:right="1406" w:bottom="1440" w:left="1406" w:header="851" w:footer="90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D9986">
    <w:pPr>
      <w:pStyle w:val="2"/>
      <w:rPr>
        <w:rFonts w:hint="eastAsia"/>
        <w:lang w:eastAsia="zh-CN"/>
      </w:rPr>
    </w:pPr>
    <w:r>
      <w:rPr>
        <w:rFonts w:hint="eastAsia" w:ascii="微软雅黑" w:hAnsi="微软雅黑" w:eastAsia="微软雅黑" w:cs="微软雅黑"/>
        <w:sz w:val="24"/>
        <w:szCs w:val="24"/>
      </w:rPr>
      <mc:AlternateContent>
        <mc:Choice Requires="wps">
          <w:drawing>
            <wp:anchor distT="0" distB="0" distL="114300" distR="114300" simplePos="0" relativeHeight="251661312"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35D61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1312;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BBoPKC1wAAAAoBAAAPAAAAAAAAAAEAIAAAACIAAABkcnMvZG93bnJldi54bWxQ&#10;SwECFAAUAAAACACHTuJA6wA4ejECAABjBAAADgAAAAAAAAABACAAAAAmAQAAZHJzL2Uyb0RvYy54&#10;bWxQSwUGAAAAAAYABgBZAQAAyQUAAAAA&#10;">
              <v:fill on="f" focussize="0,0"/>
              <v:stroke on="f" weight="0.5pt"/>
              <v:imagedata o:title=""/>
              <o:lock v:ext="edit" aspectratio="f"/>
              <v:textbox inset="0mm,0mm,0mm,0mm" style="mso-fit-shape-to-text:t;">
                <w:txbxContent>
                  <w:p w14:paraId="3C35D61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9333230</wp:posOffset>
          </wp:positionV>
          <wp:extent cx="7557770" cy="1326515"/>
          <wp:effectExtent l="0" t="0" r="11430" b="6985"/>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7770" cy="1326515"/>
                  </a:xfrm>
                  <a:prstGeom prst="rect">
                    <a:avLst/>
                  </a:prstGeom>
                  <a:noFill/>
                  <a:ln>
                    <a:noFill/>
                  </a:ln>
                </pic:spPr>
              </pic:pic>
            </a:graphicData>
          </a:graphic>
        </wp:anchor>
      </w:drawing>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2195C5">
    <w:pPr>
      <w:pStyle w:val="3"/>
    </w:pPr>
    <w:r>
      <w:drawing>
        <wp:anchor distT="0" distB="0" distL="114300" distR="114300" simplePos="0" relativeHeight="251659264" behindDoc="1" locked="0" layoutInCell="1" allowOverlap="1">
          <wp:simplePos x="0" y="0"/>
          <wp:positionH relativeFrom="page">
            <wp:posOffset>6350</wp:posOffset>
          </wp:positionH>
          <wp:positionV relativeFrom="page">
            <wp:posOffset>-6350</wp:posOffset>
          </wp:positionV>
          <wp:extent cx="7731760" cy="1357630"/>
          <wp:effectExtent l="0" t="0" r="2540" b="1270"/>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
                  <a:stretch>
                    <a:fillRect/>
                  </a:stretch>
                </pic:blipFill>
                <pic:spPr>
                  <a:xfrm>
                    <a:off x="0" y="0"/>
                    <a:ext cx="7731760" cy="1357630"/>
                  </a:xfrm>
                  <a:prstGeom prst="rect">
                    <a:avLst/>
                  </a:prstGeom>
                  <a:noFill/>
                  <a:ln>
                    <a:noFill/>
                  </a:ln>
                </pic:spPr>
              </pic:pic>
            </a:graphicData>
          </a:graphic>
          <wp14:sizeRelH relativeFrom="page">
            <wp14:pctWidth>100000</wp14:pctWidth>
          </wp14:sizeRelH>
          <wp14:sizeRelV relativeFrom="page">
            <wp14:pctHeight>0</wp14:pctHeight>
          </wp14:sizeRelV>
        </wp:anchor>
      </w:drawing>
    </w:r>
    <w:r>
      <w:rPr>
        <w:sz w:val="18"/>
      </w:rPr>
      <w:drawing>
        <wp:anchor distT="0" distB="0" distL="114300" distR="114300" simplePos="0" relativeHeight="251662336" behindDoc="1" locked="0" layoutInCell="1" allowOverlap="1">
          <wp:simplePos x="0" y="0"/>
          <wp:positionH relativeFrom="margin">
            <wp:align>center</wp:align>
          </wp:positionH>
          <wp:positionV relativeFrom="margin">
            <wp:align>center</wp:align>
          </wp:positionV>
          <wp:extent cx="5274310" cy="911860"/>
          <wp:effectExtent l="0" t="1616710" r="0" b="1598930"/>
          <wp:wrapNone/>
          <wp:docPr id="3"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39663" descr="logo"/>
                  <pic:cNvPicPr>
                    <a:picLocks noChangeAspect="1"/>
                  </pic:cNvPicPr>
                </pic:nvPicPr>
                <pic:blipFill>
                  <a:blip r:embed="rId2">
                    <a:lum bright="70000" contrast="-70000"/>
                  </a:blip>
                  <a:stretch>
                    <a:fillRect/>
                  </a:stretch>
                </pic:blipFill>
                <pic:spPr>
                  <a:xfrm rot="18900000">
                    <a:off x="0" y="0"/>
                    <a:ext cx="5274310" cy="91186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1">
    <w:nsid w:val="CE045B9A"/>
    <w:multiLevelType w:val="singleLevel"/>
    <w:tmpl w:val="CE045B9A"/>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4EB15633"/>
    <w:multiLevelType w:val="singleLevel"/>
    <w:tmpl w:val="4EB15633"/>
    <w:lvl w:ilvl="0" w:tentative="0">
      <w:start w:val="1"/>
      <w:numFmt w:val="decimal"/>
      <w:suff w:val="space"/>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3273D57"/>
    <w:rsid w:val="04801538"/>
    <w:rsid w:val="07022E98"/>
    <w:rsid w:val="0926133C"/>
    <w:rsid w:val="0F496AF1"/>
    <w:rsid w:val="0FEA69AB"/>
    <w:rsid w:val="13AC0DFB"/>
    <w:rsid w:val="154768F9"/>
    <w:rsid w:val="15982334"/>
    <w:rsid w:val="15FB01DE"/>
    <w:rsid w:val="1B63383F"/>
    <w:rsid w:val="1BAF4D2D"/>
    <w:rsid w:val="1DF62585"/>
    <w:rsid w:val="1EFC5E1C"/>
    <w:rsid w:val="1F1F5B1E"/>
    <w:rsid w:val="239D478B"/>
    <w:rsid w:val="2FFA371C"/>
    <w:rsid w:val="344F3FA7"/>
    <w:rsid w:val="3D2C6E4B"/>
    <w:rsid w:val="3F8F6DDC"/>
    <w:rsid w:val="410A4D20"/>
    <w:rsid w:val="41412BA9"/>
    <w:rsid w:val="42F655C2"/>
    <w:rsid w:val="496E4757"/>
    <w:rsid w:val="4A277B81"/>
    <w:rsid w:val="4C886703"/>
    <w:rsid w:val="52A5300F"/>
    <w:rsid w:val="54100711"/>
    <w:rsid w:val="55086D82"/>
    <w:rsid w:val="56117BEC"/>
    <w:rsid w:val="5C242F93"/>
    <w:rsid w:val="5F8E4D13"/>
    <w:rsid w:val="60A74B67"/>
    <w:rsid w:val="60AD0732"/>
    <w:rsid w:val="63F70CE7"/>
    <w:rsid w:val="6F171F8A"/>
    <w:rsid w:val="708E0FAD"/>
    <w:rsid w:val="75C43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sv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svg"/><Relationship Id="rId11" Type="http://schemas.openxmlformats.org/officeDocument/2006/relationships/image" Target="media/image8.png"/><Relationship Id="rId10" Type="http://schemas.openxmlformats.org/officeDocument/2006/relationships/image" Target="media/image7.sv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1740</Words>
  <Characters>2473</Characters>
  <Lines>0</Lines>
  <Paragraphs>0</Paragraphs>
  <TotalTime>1</TotalTime>
  <ScaleCrop>false</ScaleCrop>
  <LinksUpToDate>false</LinksUpToDate>
  <CharactersWithSpaces>2580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cp:lastModifiedBy>
  <cp:lastPrinted>2023-12-02T04:32:00Z</cp:lastPrinted>
  <dcterms:modified xsi:type="dcterms:W3CDTF">2026-06-09T02:13:02Z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76A6B7DF9CCA440EA4554150649904E7_13</vt:lpwstr>
  </property>
  <property fmtid="{D5CDD505-2E9C-101B-9397-08002B2CF9AE}" pid="4" name="KSOTemplateDocerSaveRecord">
    <vt:lpwstr>eyJoZGlkIjoiNGE4MmJmZWM4N2NmNzM0ODc5NTJkMGZhNzZhNmI2ZDgiLCJ1c2VySWQiOiI2OTYyMTYzMjYifQ==</vt:lpwstr>
  </property>
</Properties>
</file>