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media/image5.svg" ContentType="image/svg+xml"/>
  <Override PartName="/word/media/image7.svg" ContentType="image/svg+xml"/>
  <Override PartName="/word/media/image9.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5CE705">
      <w:pPr>
        <w:jc w:val="center"/>
        <w:rPr>
          <w:rFonts w:hint="eastAsia" w:ascii="微软雅黑" w:hAnsi="微软雅黑" w:eastAsia="微软雅黑" w:cs="微软雅黑"/>
          <w:b/>
          <w:bCs/>
          <w:sz w:val="32"/>
          <w:szCs w:val="32"/>
        </w:rPr>
      </w:pPr>
      <w:r>
        <w:rPr>
          <w:rFonts w:hint="eastAsia" w:ascii="微软雅黑" w:hAnsi="微软雅黑" w:eastAsia="微软雅黑" w:cs="微软雅黑"/>
          <w:b/>
          <w:bCs/>
          <w:sz w:val="32"/>
          <w:szCs w:val="32"/>
        </w:rPr>
        <w:t>易肽</w:t>
      </w:r>
      <w:r>
        <w:rPr>
          <w:rFonts w:hint="default" w:ascii="Times New Roman" w:hAnsi="Times New Roman" w:eastAsia="微软雅黑" w:cs="Times New Roman"/>
          <w:b/>
          <w:bCs/>
          <w:sz w:val="32"/>
          <w:szCs w:val="32"/>
        </w:rPr>
        <w:t>DeeP</w:t>
      </w:r>
      <w:r>
        <w:rPr>
          <w:rFonts w:hint="eastAsia" w:ascii="微软雅黑" w:hAnsi="微软雅黑" w:eastAsia="微软雅黑" w:cs="微软雅黑"/>
          <w:b/>
          <w:bCs/>
          <w:sz w:val="32"/>
          <w:szCs w:val="32"/>
        </w:rPr>
        <w:t>低丰度蛋白富集及前处理制备试剂盒</w:t>
      </w:r>
    </w:p>
    <w:p w14:paraId="3900D54D">
      <w:pPr>
        <w:jc w:val="center"/>
        <w:rPr>
          <w:rFonts w:hint="default" w:ascii="微软雅黑" w:hAnsi="微软雅黑" w:eastAsia="微软雅黑" w:cs="微软雅黑"/>
          <w:lang w:val="en-US" w:eastAsia="zh-CN"/>
        </w:rPr>
      </w:pPr>
      <w:r>
        <w:rPr>
          <w:rFonts w:hint="eastAsia" w:ascii="微软雅黑" w:hAnsi="微软雅黑" w:eastAsia="微软雅黑" w:cs="微软雅黑"/>
          <w:lang w:val="en-US" w:eastAsia="zh-CN"/>
        </w:rPr>
        <w:t>货号：</w:t>
      </w:r>
      <w:r>
        <w:rPr>
          <w:rFonts w:hint="default" w:ascii="Times New Roman" w:hAnsi="Times New Roman" w:eastAsia="微软雅黑" w:cs="Times New Roman"/>
          <w:lang w:val="en-US" w:eastAsia="zh-CN"/>
        </w:rPr>
        <w:t>OSFP0002</w:t>
      </w:r>
      <w:r>
        <w:rPr>
          <w:rFonts w:hint="eastAsia" w:ascii="Times New Roman" w:hAnsi="Times New Roman" w:eastAsia="微软雅黑" w:cs="Times New Roman"/>
          <w:lang w:val="en-US" w:eastAsia="zh-CN"/>
        </w:rPr>
        <w:t>-AUTO</w:t>
      </w:r>
      <w:r>
        <w:rPr>
          <w:rFonts w:hint="eastAsia" w:ascii="微软雅黑" w:hAnsi="微软雅黑" w:eastAsia="微软雅黑" w:cs="微软雅黑"/>
          <w:lang w:val="en-US" w:eastAsia="zh-CN"/>
        </w:rPr>
        <w:t xml:space="preserve">  规格：</w:t>
      </w:r>
      <w:r>
        <w:rPr>
          <w:rFonts w:hint="eastAsia" w:ascii="Times New Roman" w:hAnsi="Times New Roman" w:eastAsia="微软雅黑" w:cs="Times New Roman"/>
          <w:lang w:val="en-US" w:eastAsia="zh-CN"/>
        </w:rPr>
        <w:t>8</w:t>
      </w:r>
      <w:bookmarkStart w:id="1" w:name="_GoBack"/>
      <w:bookmarkEnd w:id="1"/>
      <w:r>
        <w:rPr>
          <w:rFonts w:hint="default" w:ascii="Times New Roman" w:hAnsi="Times New Roman" w:eastAsia="微软雅黑" w:cs="Times New Roman"/>
          <w:lang w:val="en-US" w:eastAsia="zh-CN"/>
        </w:rPr>
        <w:t>x</w:t>
      </w:r>
      <w:r>
        <w:rPr>
          <w:rFonts w:hint="eastAsia" w:ascii="Times New Roman" w:hAnsi="Times New Roman" w:eastAsia="微软雅黑" w:cs="Times New Roman"/>
          <w:lang w:val="en-US" w:eastAsia="zh-CN"/>
        </w:rPr>
        <w:t xml:space="preserve">  版本号：V20260609DH</w:t>
      </w:r>
    </w:p>
    <w:p w14:paraId="674DB5D5">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试剂盒包含：</w:t>
      </w:r>
    </w:p>
    <w:tbl>
      <w:tblPr>
        <w:tblStyle w:val="6"/>
        <w:tblpPr w:leftFromText="180" w:rightFromText="180" w:vertAnchor="text" w:horzAnchor="page" w:tblpX="1798" w:tblpY="579"/>
        <w:tblOverlap w:val="never"/>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17"/>
        <w:gridCol w:w="1645"/>
        <w:gridCol w:w="4735"/>
        <w:gridCol w:w="1406"/>
      </w:tblGrid>
      <w:tr w14:paraId="02DE2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single" w:color="auto" w:sz="6" w:space="0"/>
              <w:bottom w:val="single" w:color="auto" w:sz="6" w:space="0"/>
            </w:tcBorders>
            <w:vAlign w:val="center"/>
          </w:tcPr>
          <w:p w14:paraId="270460D1">
            <w:pPr>
              <w:spacing w:line="360" w:lineRule="auto"/>
              <w:jc w:val="center"/>
              <w:rPr>
                <w:rFonts w:hint="default" w:ascii="Times New Roman" w:hAnsi="Times New Roman" w:eastAsia="微软雅黑" w:cs="Times New Roman"/>
                <w:b/>
                <w:bCs/>
                <w:sz w:val="18"/>
                <w:szCs w:val="18"/>
              </w:rPr>
            </w:pPr>
            <w:r>
              <w:rPr>
                <w:rFonts w:hint="default" w:ascii="Times New Roman" w:hAnsi="Times New Roman" w:eastAsia="微软雅黑" w:cs="Times New Roman"/>
                <w:b/>
                <w:bCs/>
                <w:sz w:val="18"/>
                <w:szCs w:val="18"/>
              </w:rPr>
              <w:t>试剂名称</w:t>
            </w:r>
          </w:p>
        </w:tc>
        <w:tc>
          <w:tcPr>
            <w:tcW w:w="884" w:type="pct"/>
            <w:tcBorders>
              <w:top w:val="single" w:color="auto" w:sz="6" w:space="0"/>
              <w:bottom w:val="single" w:color="auto" w:sz="6" w:space="0"/>
            </w:tcBorders>
            <w:vAlign w:val="center"/>
          </w:tcPr>
          <w:p w14:paraId="3EAF2737">
            <w:pPr>
              <w:spacing w:line="360" w:lineRule="auto"/>
              <w:jc w:val="center"/>
              <w:rPr>
                <w:rFonts w:hint="default" w:ascii="Times New Roman" w:hAnsi="Times New Roman" w:eastAsia="微软雅黑" w:cs="Times New Roman"/>
                <w:b/>
                <w:bCs/>
                <w:sz w:val="18"/>
                <w:szCs w:val="18"/>
              </w:rPr>
            </w:pPr>
            <w:r>
              <w:rPr>
                <w:rFonts w:hint="default" w:ascii="Times New Roman" w:hAnsi="Times New Roman" w:eastAsia="微软雅黑" w:cs="Times New Roman"/>
                <w:b/>
                <w:bCs/>
                <w:sz w:val="18"/>
                <w:szCs w:val="18"/>
              </w:rPr>
              <w:t>规格</w:t>
            </w:r>
          </w:p>
        </w:tc>
        <w:tc>
          <w:tcPr>
            <w:tcW w:w="2544" w:type="pct"/>
            <w:tcBorders>
              <w:top w:val="single" w:color="auto" w:sz="6" w:space="0"/>
              <w:bottom w:val="single" w:color="auto" w:sz="6" w:space="0"/>
            </w:tcBorders>
            <w:vAlign w:val="center"/>
          </w:tcPr>
          <w:p w14:paraId="31920DFD">
            <w:pPr>
              <w:spacing w:line="360" w:lineRule="auto"/>
              <w:jc w:val="center"/>
              <w:rPr>
                <w:rFonts w:hint="default" w:ascii="Times New Roman" w:hAnsi="Times New Roman" w:eastAsia="微软雅黑" w:cs="Times New Roman"/>
                <w:b/>
                <w:bCs/>
                <w:sz w:val="18"/>
                <w:szCs w:val="18"/>
              </w:rPr>
            </w:pPr>
            <w:r>
              <w:rPr>
                <w:rFonts w:hint="default" w:ascii="Times New Roman" w:hAnsi="Times New Roman" w:eastAsia="微软雅黑" w:cs="Times New Roman"/>
                <w:b/>
                <w:bCs/>
                <w:sz w:val="18"/>
                <w:szCs w:val="18"/>
              </w:rPr>
              <w:t>简   介</w:t>
            </w:r>
          </w:p>
        </w:tc>
        <w:tc>
          <w:tcPr>
            <w:tcW w:w="755" w:type="pct"/>
            <w:tcBorders>
              <w:top w:val="single" w:color="auto" w:sz="6" w:space="0"/>
              <w:bottom w:val="single" w:color="auto" w:sz="6" w:space="0"/>
            </w:tcBorders>
            <w:vAlign w:val="center"/>
          </w:tcPr>
          <w:p w14:paraId="1ED9DC26">
            <w:pPr>
              <w:spacing w:line="360" w:lineRule="auto"/>
              <w:jc w:val="center"/>
              <w:rPr>
                <w:rFonts w:hint="default" w:ascii="Times New Roman" w:hAnsi="Times New Roman" w:eastAsia="微软雅黑" w:cs="Times New Roman"/>
                <w:b/>
                <w:bCs/>
                <w:sz w:val="18"/>
                <w:szCs w:val="18"/>
              </w:rPr>
            </w:pPr>
            <w:r>
              <w:rPr>
                <w:rFonts w:hint="default" w:ascii="Times New Roman" w:hAnsi="Times New Roman" w:eastAsia="微软雅黑" w:cs="Times New Roman"/>
                <w:b/>
                <w:bCs/>
                <w:sz w:val="18"/>
                <w:szCs w:val="18"/>
              </w:rPr>
              <w:t>储存条件</w:t>
            </w:r>
          </w:p>
        </w:tc>
      </w:tr>
      <w:tr w14:paraId="3CC35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5FB0EEB1">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A </w:t>
            </w:r>
            <w:r>
              <w:rPr>
                <w:rFonts w:hint="default" w:ascii="Times New Roman" w:hAnsi="Times New Roman" w:eastAsia="微软雅黑" w:cs="Times New Roman"/>
                <w:b w:val="0"/>
                <w:bCs w:val="0"/>
                <w:color w:val="843C0B"/>
                <w:sz w:val="18"/>
                <w:szCs w:val="18"/>
                <w:vertAlign w:val="baseline"/>
                <w:lang w:val="en-US" w:eastAsia="zh-CN"/>
              </w:rPr>
              <w:t>●</w:t>
            </w:r>
            <w:r>
              <w:rPr>
                <w:rFonts w:hint="default" w:ascii="Times New Roman" w:hAnsi="Times New Roman" w:eastAsia="微软雅黑" w:cs="Times New Roman"/>
                <w:sz w:val="18"/>
                <w:szCs w:val="18"/>
              </w:rPr>
              <w:t xml:space="preserve"> </w:t>
            </w:r>
          </w:p>
        </w:tc>
        <w:tc>
          <w:tcPr>
            <w:tcW w:w="884" w:type="pct"/>
            <w:tcBorders>
              <w:top w:val="nil"/>
              <w:bottom w:val="nil"/>
            </w:tcBorders>
            <w:vAlign w:val="center"/>
          </w:tcPr>
          <w:p w14:paraId="7786EF6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600u</w:t>
            </w:r>
            <w:r>
              <w:rPr>
                <w:rFonts w:hint="default" w:ascii="Times New Roman" w:hAnsi="Times New Roman" w:eastAsia="微软雅黑" w:cs="Times New Roman"/>
                <w:b w:val="0"/>
                <w:bCs w:val="0"/>
                <w:sz w:val="18"/>
                <w:szCs w:val="18"/>
                <w:vertAlign w:val="baseline"/>
                <w:lang w:val="en-US" w:eastAsia="zh-CN"/>
              </w:rPr>
              <w:t>l*</w:t>
            </w:r>
            <w:r>
              <w:rPr>
                <w:rFonts w:hint="eastAsia" w:ascii="Times New Roman" w:hAnsi="Times New Roman" w:eastAsia="微软雅黑" w:cs="Times New Roman"/>
                <w:b w:val="0"/>
                <w:bCs w:val="0"/>
                <w:sz w:val="18"/>
                <w:szCs w:val="18"/>
                <w:vertAlign w:val="baseline"/>
                <w:lang w:val="en-US" w:eastAsia="zh-CN"/>
              </w:rPr>
              <w:t>1</w:t>
            </w:r>
          </w:p>
        </w:tc>
        <w:tc>
          <w:tcPr>
            <w:tcW w:w="2544" w:type="pct"/>
            <w:tcBorders>
              <w:top w:val="nil"/>
              <w:bottom w:val="nil"/>
            </w:tcBorders>
            <w:vAlign w:val="center"/>
          </w:tcPr>
          <w:p w14:paraId="5A9851E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还原烷基化</w:t>
            </w:r>
            <w:r>
              <w:rPr>
                <w:rFonts w:hint="eastAsia" w:ascii="Times New Roman" w:hAnsi="Times New Roman" w:eastAsia="微软雅黑" w:cs="Times New Roman"/>
                <w:b w:val="0"/>
                <w:bCs w:val="0"/>
                <w:sz w:val="18"/>
                <w:szCs w:val="18"/>
                <w:vertAlign w:val="baseline"/>
                <w:lang w:val="en-US" w:eastAsia="zh-CN"/>
              </w:rPr>
              <w:t>，蛋白质还原烷基化</w:t>
            </w:r>
          </w:p>
        </w:tc>
        <w:tc>
          <w:tcPr>
            <w:tcW w:w="755" w:type="pct"/>
            <w:tcBorders>
              <w:top w:val="nil"/>
              <w:bottom w:val="nil"/>
            </w:tcBorders>
            <w:vAlign w:val="center"/>
          </w:tcPr>
          <w:p w14:paraId="77DD703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-20℃</w:t>
            </w:r>
          </w:p>
        </w:tc>
      </w:tr>
      <w:tr w14:paraId="3360A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49257002">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B </w:t>
            </w:r>
            <w:r>
              <w:rPr>
                <w:rFonts w:hint="default" w:ascii="Times New Roman" w:hAnsi="Times New Roman" w:eastAsia="微软雅黑" w:cs="Times New Roman"/>
                <w:b w:val="0"/>
                <w:bCs w:val="0"/>
                <w:color w:val="FF0000"/>
                <w:sz w:val="18"/>
                <w:szCs w:val="18"/>
                <w:vertAlign w:val="baseline"/>
                <w:lang w:val="en-US" w:eastAsia="zh-CN"/>
              </w:rPr>
              <w:t>●</w:t>
            </w:r>
            <w:r>
              <w:rPr>
                <w:rFonts w:hint="default" w:ascii="Times New Roman" w:hAnsi="Times New Roman" w:eastAsia="微软雅黑" w:cs="Times New Roman"/>
                <w:color w:val="FF0000"/>
                <w:sz w:val="18"/>
                <w:szCs w:val="18"/>
              </w:rPr>
              <w:t xml:space="preserve"> </w:t>
            </w:r>
          </w:p>
        </w:tc>
        <w:tc>
          <w:tcPr>
            <w:tcW w:w="884" w:type="pct"/>
            <w:tcBorders>
              <w:top w:val="nil"/>
              <w:bottom w:val="nil"/>
            </w:tcBorders>
            <w:vAlign w:val="center"/>
          </w:tcPr>
          <w:p w14:paraId="5164CA4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220u</w:t>
            </w:r>
            <w:r>
              <w:rPr>
                <w:rFonts w:hint="default" w:ascii="Times New Roman" w:hAnsi="Times New Roman" w:eastAsia="微软雅黑" w:cs="Times New Roman"/>
                <w:b w:val="0"/>
                <w:bCs w:val="0"/>
                <w:sz w:val="18"/>
                <w:szCs w:val="18"/>
                <w:vertAlign w:val="baseline"/>
                <w:lang w:val="en-US" w:eastAsia="zh-CN"/>
              </w:rPr>
              <w:t>l*1</w:t>
            </w:r>
          </w:p>
        </w:tc>
        <w:tc>
          <w:tcPr>
            <w:tcW w:w="2544" w:type="pct"/>
            <w:tcBorders>
              <w:top w:val="nil"/>
              <w:bottom w:val="nil"/>
            </w:tcBorders>
            <w:vAlign w:val="center"/>
          </w:tcPr>
          <w:p w14:paraId="5F16485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酶，蛋白酶解</w:t>
            </w:r>
          </w:p>
        </w:tc>
        <w:tc>
          <w:tcPr>
            <w:tcW w:w="755" w:type="pct"/>
            <w:tcBorders>
              <w:top w:val="nil"/>
              <w:bottom w:val="nil"/>
            </w:tcBorders>
            <w:vAlign w:val="center"/>
          </w:tcPr>
          <w:p w14:paraId="5BC8DE2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-20℃</w:t>
            </w:r>
          </w:p>
        </w:tc>
      </w:tr>
      <w:tr w14:paraId="107B4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7A7CF158">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C</w:t>
            </w:r>
            <w:r>
              <w:rPr>
                <w:rFonts w:hint="default" w:ascii="Times New Roman" w:hAnsi="Times New Roman" w:eastAsia="微软雅黑" w:cs="Times New Roman"/>
                <w:sz w:val="18"/>
                <w:szCs w:val="18"/>
              </w:rPr>
              <w:t xml:space="preserve"> </w:t>
            </w:r>
            <w:r>
              <w:rPr>
                <w:rFonts w:hint="default" w:ascii="Times New Roman" w:hAnsi="Times New Roman" w:eastAsia="微软雅黑" w:cs="Times New Roman"/>
                <w:b w:val="0"/>
                <w:bCs w:val="0"/>
                <w:color w:val="auto"/>
                <w:sz w:val="18"/>
                <w:szCs w:val="18"/>
                <w:vertAlign w:val="baseline"/>
                <w:lang w:val="en-US" w:eastAsia="zh-CN"/>
              </w:rPr>
              <w:t>●</w:t>
            </w:r>
          </w:p>
        </w:tc>
        <w:tc>
          <w:tcPr>
            <w:tcW w:w="884" w:type="pct"/>
            <w:tcBorders>
              <w:top w:val="nil"/>
              <w:bottom w:val="nil"/>
            </w:tcBorders>
            <w:vAlign w:val="center"/>
          </w:tcPr>
          <w:p w14:paraId="2E5410A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1.5</w:t>
            </w:r>
            <w:r>
              <w:rPr>
                <w:rFonts w:hint="default" w:ascii="Times New Roman" w:hAnsi="Times New Roman" w:eastAsia="微软雅黑" w:cs="Times New Roman"/>
                <w:b w:val="0"/>
                <w:bCs w:val="0"/>
                <w:sz w:val="18"/>
                <w:szCs w:val="18"/>
                <w:vertAlign w:val="baseline"/>
                <w:lang w:val="en-US" w:eastAsia="zh-CN"/>
              </w:rPr>
              <w:t>ml*</w:t>
            </w:r>
            <w:r>
              <w:rPr>
                <w:rFonts w:hint="eastAsia" w:ascii="Times New Roman" w:hAnsi="Times New Roman" w:eastAsia="微软雅黑" w:cs="Times New Roman"/>
                <w:b w:val="0"/>
                <w:bCs w:val="0"/>
                <w:sz w:val="18"/>
                <w:szCs w:val="18"/>
                <w:vertAlign w:val="baseline"/>
                <w:lang w:val="en-US" w:eastAsia="zh-CN"/>
              </w:rPr>
              <w:t>1</w:t>
            </w:r>
          </w:p>
        </w:tc>
        <w:tc>
          <w:tcPr>
            <w:tcW w:w="2544" w:type="pct"/>
            <w:tcBorders>
              <w:top w:val="nil"/>
              <w:bottom w:val="nil"/>
            </w:tcBorders>
            <w:vAlign w:val="center"/>
          </w:tcPr>
          <w:p w14:paraId="554A4B3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终止试剂，终止酶解反应</w:t>
            </w:r>
          </w:p>
        </w:tc>
        <w:tc>
          <w:tcPr>
            <w:tcW w:w="755" w:type="pct"/>
            <w:tcBorders>
              <w:top w:val="nil"/>
              <w:bottom w:val="nil"/>
            </w:tcBorders>
            <w:vAlign w:val="center"/>
          </w:tcPr>
          <w:p w14:paraId="48415C4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常温</w:t>
            </w:r>
          </w:p>
        </w:tc>
      </w:tr>
      <w:tr w14:paraId="5E8D4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3F3E18D3">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D</w:t>
            </w:r>
            <w:r>
              <w:rPr>
                <w:rFonts w:hint="default" w:ascii="Times New Roman" w:hAnsi="Times New Roman" w:eastAsia="微软雅黑" w:cs="Times New Roman"/>
                <w:b w:val="0"/>
                <w:bCs w:val="0"/>
                <w:sz w:val="18"/>
                <w:szCs w:val="18"/>
                <w:vertAlign w:val="baseline"/>
                <w:lang w:val="en-US" w:eastAsia="zh-CN"/>
              </w:rPr>
              <w:t xml:space="preserve"> </w:t>
            </w:r>
            <w:r>
              <w:rPr>
                <w:rFonts w:hint="default" w:ascii="Times New Roman" w:hAnsi="Times New Roman" w:eastAsia="微软雅黑" w:cs="Times New Roman"/>
                <w:b w:val="0"/>
                <w:bCs w:val="0"/>
                <w:color w:val="00B0F0"/>
                <w:sz w:val="18"/>
                <w:szCs w:val="18"/>
                <w:vertAlign w:val="baseline"/>
                <w:lang w:val="en-US" w:eastAsia="zh-CN"/>
              </w:rPr>
              <w:t>●</w:t>
            </w:r>
          </w:p>
        </w:tc>
        <w:tc>
          <w:tcPr>
            <w:tcW w:w="884" w:type="pct"/>
            <w:tcBorders>
              <w:top w:val="nil"/>
              <w:bottom w:val="nil"/>
            </w:tcBorders>
            <w:vAlign w:val="center"/>
          </w:tcPr>
          <w:p w14:paraId="6CB8905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2</w:t>
            </w:r>
            <w:r>
              <w:rPr>
                <w:rFonts w:hint="default" w:ascii="Times New Roman" w:hAnsi="Times New Roman" w:eastAsia="微软雅黑" w:cs="Times New Roman"/>
                <w:b w:val="0"/>
                <w:bCs w:val="0"/>
                <w:sz w:val="18"/>
                <w:szCs w:val="18"/>
                <w:vertAlign w:val="baseline"/>
                <w:lang w:val="en-US" w:eastAsia="zh-CN"/>
              </w:rPr>
              <w:t>ml*</w:t>
            </w:r>
            <w:r>
              <w:rPr>
                <w:rFonts w:hint="eastAsia" w:ascii="Times New Roman" w:hAnsi="Times New Roman" w:eastAsia="微软雅黑" w:cs="Times New Roman"/>
                <w:b w:val="0"/>
                <w:bCs w:val="0"/>
                <w:sz w:val="18"/>
                <w:szCs w:val="18"/>
                <w:vertAlign w:val="baseline"/>
                <w:lang w:val="en-US" w:eastAsia="zh-CN"/>
              </w:rPr>
              <w:t>2</w:t>
            </w:r>
          </w:p>
        </w:tc>
        <w:tc>
          <w:tcPr>
            <w:tcW w:w="2544" w:type="pct"/>
            <w:tcBorders>
              <w:top w:val="nil"/>
              <w:bottom w:val="nil"/>
            </w:tcBorders>
            <w:vAlign w:val="center"/>
          </w:tcPr>
          <w:p w14:paraId="1CBEE0E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肽段清洗试剂1，清洗肽段</w:t>
            </w:r>
          </w:p>
        </w:tc>
        <w:tc>
          <w:tcPr>
            <w:tcW w:w="755" w:type="pct"/>
            <w:tcBorders>
              <w:top w:val="nil"/>
              <w:bottom w:val="nil"/>
            </w:tcBorders>
            <w:vAlign w:val="center"/>
          </w:tcPr>
          <w:p w14:paraId="729C4BB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常温</w:t>
            </w:r>
          </w:p>
        </w:tc>
      </w:tr>
      <w:tr w14:paraId="60073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55BA5266">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E </w:t>
            </w:r>
            <w:r>
              <w:rPr>
                <w:rFonts w:hint="default" w:ascii="Times New Roman" w:hAnsi="Times New Roman" w:eastAsia="微软雅黑" w:cs="Times New Roman"/>
                <w:b w:val="0"/>
                <w:bCs w:val="0"/>
                <w:color w:val="2B8313"/>
                <w:sz w:val="18"/>
                <w:szCs w:val="18"/>
                <w:vertAlign w:val="baseline"/>
                <w:lang w:val="en-US" w:eastAsia="zh-CN"/>
              </w:rPr>
              <w:t>●</w:t>
            </w:r>
          </w:p>
        </w:tc>
        <w:tc>
          <w:tcPr>
            <w:tcW w:w="884" w:type="pct"/>
            <w:tcBorders>
              <w:top w:val="nil"/>
              <w:bottom w:val="nil"/>
            </w:tcBorders>
            <w:vAlign w:val="center"/>
          </w:tcPr>
          <w:p w14:paraId="7CD5327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2</w:t>
            </w:r>
            <w:r>
              <w:rPr>
                <w:rFonts w:hint="default" w:ascii="Times New Roman" w:hAnsi="Times New Roman" w:eastAsia="微软雅黑" w:cs="Times New Roman"/>
                <w:b w:val="0"/>
                <w:bCs w:val="0"/>
                <w:sz w:val="18"/>
                <w:szCs w:val="18"/>
                <w:vertAlign w:val="baseline"/>
                <w:lang w:val="en-US" w:eastAsia="zh-CN"/>
              </w:rPr>
              <w:t>ml*</w:t>
            </w:r>
            <w:r>
              <w:rPr>
                <w:rFonts w:hint="eastAsia" w:ascii="Times New Roman" w:hAnsi="Times New Roman" w:eastAsia="微软雅黑" w:cs="Times New Roman"/>
                <w:b w:val="0"/>
                <w:bCs w:val="0"/>
                <w:sz w:val="18"/>
                <w:szCs w:val="18"/>
                <w:vertAlign w:val="baseline"/>
                <w:lang w:val="en-US" w:eastAsia="zh-CN"/>
              </w:rPr>
              <w:t>2</w:t>
            </w:r>
          </w:p>
        </w:tc>
        <w:tc>
          <w:tcPr>
            <w:tcW w:w="2544" w:type="pct"/>
            <w:tcBorders>
              <w:top w:val="nil"/>
              <w:bottom w:val="nil"/>
            </w:tcBorders>
            <w:vAlign w:val="center"/>
          </w:tcPr>
          <w:p w14:paraId="7D36C2E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肽段清洗试剂2，清洗肽段</w:t>
            </w:r>
          </w:p>
        </w:tc>
        <w:tc>
          <w:tcPr>
            <w:tcW w:w="755" w:type="pct"/>
            <w:tcBorders>
              <w:top w:val="nil"/>
              <w:bottom w:val="nil"/>
            </w:tcBorders>
            <w:vAlign w:val="center"/>
          </w:tcPr>
          <w:p w14:paraId="3906E7B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常温</w:t>
            </w:r>
          </w:p>
        </w:tc>
      </w:tr>
      <w:tr w14:paraId="23BF06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74C72308">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F </w:t>
            </w:r>
            <w:r>
              <w:rPr>
                <w:rFonts w:hint="default" w:ascii="Times New Roman" w:hAnsi="Times New Roman" w:eastAsia="微软雅黑" w:cs="Times New Roman"/>
                <w:b w:val="0"/>
                <w:bCs w:val="0"/>
                <w:color w:val="EA24DF"/>
                <w:sz w:val="18"/>
                <w:szCs w:val="18"/>
                <w:vertAlign w:val="baseline"/>
                <w:lang w:val="en-US" w:eastAsia="zh-CN"/>
              </w:rPr>
              <w:t>●</w:t>
            </w:r>
          </w:p>
        </w:tc>
        <w:tc>
          <w:tcPr>
            <w:tcW w:w="884" w:type="pct"/>
            <w:tcBorders>
              <w:top w:val="nil"/>
              <w:bottom w:val="nil"/>
            </w:tcBorders>
            <w:vAlign w:val="center"/>
          </w:tcPr>
          <w:p w14:paraId="4AF3CE3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2</w:t>
            </w:r>
            <w:r>
              <w:rPr>
                <w:rFonts w:hint="default" w:ascii="Times New Roman" w:hAnsi="Times New Roman" w:eastAsia="微软雅黑" w:cs="Times New Roman"/>
                <w:b w:val="0"/>
                <w:bCs w:val="0"/>
                <w:sz w:val="18"/>
                <w:szCs w:val="18"/>
                <w:vertAlign w:val="baseline"/>
                <w:lang w:val="en-US" w:eastAsia="zh-CN"/>
              </w:rPr>
              <w:t>ml*</w:t>
            </w:r>
            <w:r>
              <w:rPr>
                <w:rFonts w:hint="eastAsia" w:ascii="Times New Roman" w:hAnsi="Times New Roman" w:eastAsia="微软雅黑" w:cs="Times New Roman"/>
                <w:b w:val="0"/>
                <w:bCs w:val="0"/>
                <w:sz w:val="18"/>
                <w:szCs w:val="18"/>
                <w:vertAlign w:val="baseline"/>
                <w:lang w:val="en-US" w:eastAsia="zh-CN"/>
              </w:rPr>
              <w:t>2</w:t>
            </w:r>
          </w:p>
        </w:tc>
        <w:tc>
          <w:tcPr>
            <w:tcW w:w="2544" w:type="pct"/>
            <w:tcBorders>
              <w:top w:val="nil"/>
              <w:bottom w:val="nil"/>
            </w:tcBorders>
            <w:vAlign w:val="center"/>
          </w:tcPr>
          <w:p w14:paraId="06B389C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肽段洗脱试剂</w:t>
            </w:r>
          </w:p>
        </w:tc>
        <w:tc>
          <w:tcPr>
            <w:tcW w:w="755" w:type="pct"/>
            <w:tcBorders>
              <w:top w:val="nil"/>
              <w:bottom w:val="nil"/>
            </w:tcBorders>
            <w:vAlign w:val="center"/>
          </w:tcPr>
          <w:p w14:paraId="3BB33E5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常温</w:t>
            </w:r>
          </w:p>
        </w:tc>
      </w:tr>
      <w:tr w14:paraId="22255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0CD9E474">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 xml:space="preserve">试剂G </w:t>
            </w:r>
            <w:r>
              <w:rPr>
                <w:rFonts w:hint="default" w:ascii="Times New Roman" w:hAnsi="Times New Roman" w:eastAsia="微软雅黑" w:cs="Times New Roman"/>
                <w:color w:val="7030A0"/>
                <w:sz w:val="18"/>
                <w:szCs w:val="18"/>
              </w:rPr>
              <w:t>●</w:t>
            </w:r>
          </w:p>
        </w:tc>
        <w:tc>
          <w:tcPr>
            <w:tcW w:w="884" w:type="pct"/>
            <w:tcBorders>
              <w:top w:val="nil"/>
              <w:bottom w:val="nil"/>
            </w:tcBorders>
            <w:vAlign w:val="center"/>
          </w:tcPr>
          <w:p w14:paraId="2D93C7C2">
            <w:pPr>
              <w:spacing w:line="360" w:lineRule="auto"/>
              <w:jc w:val="center"/>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sz w:val="18"/>
                <w:szCs w:val="18"/>
                <w:lang w:val="en-US" w:eastAsia="zh-CN"/>
              </w:rPr>
              <w:t>15</w:t>
            </w:r>
            <w:r>
              <w:rPr>
                <w:rFonts w:hint="default" w:ascii="Times New Roman" w:hAnsi="Times New Roman" w:eastAsia="微软雅黑" w:cs="Times New Roman"/>
                <w:sz w:val="18"/>
                <w:szCs w:val="18"/>
              </w:rPr>
              <w:t>ml</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w:t>
            </w:r>
            <w:r>
              <w:rPr>
                <w:rFonts w:hint="default" w:ascii="Times New Roman" w:hAnsi="Times New Roman" w:eastAsia="微软雅黑" w:cs="Times New Roman"/>
                <w:sz w:val="18"/>
                <w:szCs w:val="18"/>
                <w:lang w:val="en-US" w:eastAsia="zh-CN"/>
              </w:rPr>
              <w:t xml:space="preserve"> </w:t>
            </w:r>
            <w:r>
              <w:rPr>
                <w:rFonts w:hint="eastAsia" w:ascii="Times New Roman" w:hAnsi="Times New Roman" w:eastAsia="微软雅黑" w:cs="Times New Roman"/>
                <w:sz w:val="18"/>
                <w:szCs w:val="18"/>
                <w:lang w:val="en-US" w:eastAsia="zh-CN"/>
              </w:rPr>
              <w:t>1</w:t>
            </w:r>
          </w:p>
        </w:tc>
        <w:tc>
          <w:tcPr>
            <w:tcW w:w="2544" w:type="pct"/>
            <w:tcBorders>
              <w:top w:val="nil"/>
              <w:bottom w:val="nil"/>
            </w:tcBorders>
            <w:vAlign w:val="center"/>
          </w:tcPr>
          <w:p w14:paraId="6BF91296">
            <w:pPr>
              <w:spacing w:line="360" w:lineRule="auto"/>
              <w:jc w:val="center"/>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lang w:val="en-US" w:eastAsia="zh-CN"/>
              </w:rPr>
              <w:t>磁性微粒清洗液</w:t>
            </w:r>
          </w:p>
        </w:tc>
        <w:tc>
          <w:tcPr>
            <w:tcW w:w="755" w:type="pct"/>
            <w:tcBorders>
              <w:top w:val="nil"/>
              <w:bottom w:val="nil"/>
            </w:tcBorders>
            <w:vAlign w:val="center"/>
          </w:tcPr>
          <w:p w14:paraId="10542F41">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4℃</w:t>
            </w:r>
          </w:p>
        </w:tc>
      </w:tr>
      <w:tr w14:paraId="0B9B5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1A9D6B83">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eastAsia" w:ascii="Times New Roman" w:hAnsi="Times New Roman" w:eastAsia="微软雅黑" w:cs="Times New Roman"/>
                <w:sz w:val="18"/>
                <w:szCs w:val="18"/>
                <w:lang w:val="en-US" w:eastAsia="zh-CN"/>
              </w:rPr>
              <w:t>H</w:t>
            </w:r>
            <w:r>
              <w:rPr>
                <w:rFonts w:hint="default" w:ascii="Times New Roman" w:hAnsi="Times New Roman" w:eastAsia="微软雅黑" w:cs="Times New Roman"/>
                <w:sz w:val="18"/>
                <w:szCs w:val="18"/>
              </w:rPr>
              <w:t xml:space="preserve"> </w:t>
            </w:r>
            <w:r>
              <w:rPr>
                <w:rFonts w:hint="default" w:ascii="Times New Roman" w:hAnsi="Times New Roman" w:eastAsia="微软雅黑" w:cs="Times New Roman"/>
                <w:color w:val="FFC000"/>
                <w:sz w:val="18"/>
                <w:szCs w:val="18"/>
              </w:rPr>
              <w:t>●</w:t>
            </w:r>
          </w:p>
        </w:tc>
        <w:tc>
          <w:tcPr>
            <w:tcW w:w="884" w:type="pct"/>
            <w:tcBorders>
              <w:top w:val="nil"/>
              <w:bottom w:val="nil"/>
            </w:tcBorders>
            <w:vAlign w:val="center"/>
          </w:tcPr>
          <w:p w14:paraId="6329ED2D">
            <w:pPr>
              <w:spacing w:line="360" w:lineRule="auto"/>
              <w:jc w:val="center"/>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sz w:val="18"/>
                <w:szCs w:val="18"/>
                <w:lang w:val="en-US" w:eastAsia="zh-CN"/>
              </w:rPr>
              <w:t>850u</w:t>
            </w:r>
            <w:r>
              <w:rPr>
                <w:rFonts w:hint="default" w:ascii="Times New Roman" w:hAnsi="Times New Roman" w:eastAsia="微软雅黑" w:cs="Times New Roman"/>
                <w:sz w:val="18"/>
                <w:szCs w:val="18"/>
              </w:rPr>
              <w:t>l</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w:t>
            </w:r>
            <w:r>
              <w:rPr>
                <w:rFonts w:hint="default" w:ascii="Times New Roman" w:hAnsi="Times New Roman" w:eastAsia="微软雅黑" w:cs="Times New Roman"/>
                <w:sz w:val="18"/>
                <w:szCs w:val="18"/>
                <w:lang w:val="en-US" w:eastAsia="zh-CN"/>
              </w:rPr>
              <w:t xml:space="preserve"> </w:t>
            </w:r>
            <w:r>
              <w:rPr>
                <w:rFonts w:hint="eastAsia" w:ascii="Times New Roman" w:hAnsi="Times New Roman" w:eastAsia="微软雅黑" w:cs="Times New Roman"/>
                <w:sz w:val="18"/>
                <w:szCs w:val="18"/>
                <w:lang w:val="en-US" w:eastAsia="zh-CN"/>
              </w:rPr>
              <w:t>1</w:t>
            </w:r>
          </w:p>
        </w:tc>
        <w:tc>
          <w:tcPr>
            <w:tcW w:w="2544" w:type="pct"/>
            <w:tcBorders>
              <w:top w:val="nil"/>
              <w:bottom w:val="nil"/>
            </w:tcBorders>
            <w:vAlign w:val="center"/>
          </w:tcPr>
          <w:p w14:paraId="1289EC32">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磁性</w:t>
            </w:r>
            <w:r>
              <w:rPr>
                <w:rFonts w:hint="default" w:ascii="Times New Roman" w:hAnsi="Times New Roman" w:eastAsia="微软雅黑" w:cs="Times New Roman"/>
                <w:sz w:val="18"/>
                <w:szCs w:val="18"/>
                <w:lang w:val="en-US" w:eastAsia="zh-CN"/>
              </w:rPr>
              <w:t>微粒</w:t>
            </w:r>
            <w:r>
              <w:rPr>
                <w:rFonts w:hint="default" w:ascii="Times New Roman" w:hAnsi="Times New Roman" w:eastAsia="微软雅黑" w:cs="Times New Roman"/>
                <w:sz w:val="18"/>
                <w:szCs w:val="18"/>
              </w:rPr>
              <w:t>悬液</w:t>
            </w:r>
          </w:p>
        </w:tc>
        <w:tc>
          <w:tcPr>
            <w:tcW w:w="755" w:type="pct"/>
            <w:tcBorders>
              <w:top w:val="nil"/>
              <w:bottom w:val="nil"/>
            </w:tcBorders>
            <w:vAlign w:val="center"/>
          </w:tcPr>
          <w:p w14:paraId="394F3D9A">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4℃</w:t>
            </w:r>
          </w:p>
        </w:tc>
      </w:tr>
      <w:tr w14:paraId="79A8F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082028ED">
            <w:pPr>
              <w:spacing w:line="360" w:lineRule="auto"/>
              <w:jc w:val="center"/>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lang w:val="en-US" w:eastAsia="zh-CN"/>
              </w:rPr>
              <w:t>Cartridge</w:t>
            </w:r>
          </w:p>
        </w:tc>
        <w:tc>
          <w:tcPr>
            <w:tcW w:w="884" w:type="pct"/>
            <w:tcBorders>
              <w:top w:val="nil"/>
              <w:bottom w:val="nil"/>
            </w:tcBorders>
            <w:vAlign w:val="center"/>
          </w:tcPr>
          <w:p w14:paraId="3CF955B1">
            <w:pPr>
              <w:spacing w:line="360" w:lineRule="auto"/>
              <w:jc w:val="center"/>
              <w:rPr>
                <w:rFonts w:hint="eastAsia"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rPr>
              <w:t>20μg载量</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w:t>
            </w:r>
            <w:r>
              <w:rPr>
                <w:rFonts w:hint="eastAsia" w:ascii="Times New Roman" w:hAnsi="Times New Roman" w:eastAsia="微软雅黑" w:cs="Times New Roman"/>
                <w:sz w:val="18"/>
                <w:szCs w:val="18"/>
                <w:lang w:val="en-US" w:eastAsia="zh-CN"/>
              </w:rPr>
              <w:t>8</w:t>
            </w:r>
          </w:p>
        </w:tc>
        <w:tc>
          <w:tcPr>
            <w:tcW w:w="2544" w:type="pct"/>
            <w:tcBorders>
              <w:top w:val="nil"/>
              <w:bottom w:val="nil"/>
            </w:tcBorders>
            <w:vAlign w:val="center"/>
          </w:tcPr>
          <w:p w14:paraId="1F115570">
            <w:pPr>
              <w:spacing w:line="360" w:lineRule="auto"/>
              <w:jc w:val="center"/>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rPr>
              <w:t>肽段脱盐</w:t>
            </w:r>
          </w:p>
        </w:tc>
        <w:tc>
          <w:tcPr>
            <w:tcW w:w="755" w:type="pct"/>
            <w:tcBorders>
              <w:top w:val="nil"/>
              <w:bottom w:val="nil"/>
            </w:tcBorders>
            <w:vAlign w:val="center"/>
          </w:tcPr>
          <w:p w14:paraId="34FB41F0">
            <w:pPr>
              <w:spacing w:line="360" w:lineRule="auto"/>
              <w:jc w:val="center"/>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rPr>
              <w:t>常温</w:t>
            </w:r>
          </w:p>
        </w:tc>
      </w:tr>
      <w:tr w14:paraId="7F8F9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shd w:val="clear" w:color="auto" w:fill="auto"/>
            <w:vAlign w:val="center"/>
          </w:tcPr>
          <w:p w14:paraId="750389D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both"/>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 xml:space="preserve">    S板</w:t>
            </w:r>
          </w:p>
        </w:tc>
        <w:tc>
          <w:tcPr>
            <w:tcW w:w="884" w:type="pct"/>
            <w:tcBorders>
              <w:top w:val="nil"/>
              <w:bottom w:val="nil"/>
            </w:tcBorders>
            <w:shd w:val="clear" w:color="auto" w:fill="auto"/>
            <w:vAlign w:val="center"/>
          </w:tcPr>
          <w:p w14:paraId="7BEECDD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1（96X）</w:t>
            </w:r>
          </w:p>
        </w:tc>
        <w:tc>
          <w:tcPr>
            <w:tcW w:w="2544" w:type="pct"/>
            <w:tcBorders>
              <w:top w:val="nil"/>
              <w:bottom w:val="nil"/>
            </w:tcBorders>
            <w:shd w:val="clear" w:color="auto" w:fill="auto"/>
            <w:vAlign w:val="center"/>
          </w:tcPr>
          <w:p w14:paraId="1FED949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用于样品的还原烷基化、酶解</w:t>
            </w:r>
          </w:p>
        </w:tc>
        <w:tc>
          <w:tcPr>
            <w:tcW w:w="755" w:type="pct"/>
            <w:tcBorders>
              <w:top w:val="nil"/>
              <w:bottom w:val="nil"/>
            </w:tcBorders>
            <w:shd w:val="clear" w:color="auto" w:fill="auto"/>
            <w:vAlign w:val="center"/>
          </w:tcPr>
          <w:p w14:paraId="61EB9B9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常温</w:t>
            </w:r>
          </w:p>
        </w:tc>
      </w:tr>
      <w:tr w14:paraId="47A1E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shd w:val="clear" w:color="auto" w:fill="auto"/>
            <w:vAlign w:val="center"/>
          </w:tcPr>
          <w:p w14:paraId="008B8C8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eastAsia" w:ascii="Times New Roman" w:hAnsi="Times New Roman" w:eastAsia="微软雅黑" w:cs="Times New Roman"/>
                <w:b w:val="0"/>
                <w:bCs w:val="0"/>
                <w:sz w:val="18"/>
                <w:szCs w:val="18"/>
                <w:vertAlign w:val="baseline"/>
                <w:lang w:val="en-US" w:eastAsia="zh-CN"/>
              </w:rPr>
              <w:t>试剂槽1</w:t>
            </w:r>
          </w:p>
        </w:tc>
        <w:tc>
          <w:tcPr>
            <w:tcW w:w="884" w:type="pct"/>
            <w:tcBorders>
              <w:top w:val="nil"/>
              <w:bottom w:val="nil"/>
            </w:tcBorders>
            <w:shd w:val="clear" w:color="auto" w:fill="auto"/>
            <w:vAlign w:val="center"/>
          </w:tcPr>
          <w:p w14:paraId="2D2FFC8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eastAsia" w:ascii="Times New Roman" w:hAnsi="Times New Roman" w:eastAsia="微软雅黑" w:cs="Times New Roman"/>
                <w:b w:val="0"/>
                <w:bCs w:val="0"/>
                <w:sz w:val="18"/>
                <w:szCs w:val="18"/>
                <w:vertAlign w:val="baseline"/>
                <w:lang w:val="en-US" w:eastAsia="zh-CN"/>
              </w:rPr>
              <w:t>1（96X）</w:t>
            </w:r>
          </w:p>
        </w:tc>
        <w:tc>
          <w:tcPr>
            <w:tcW w:w="2544" w:type="pct"/>
            <w:tcBorders>
              <w:top w:val="nil"/>
              <w:bottom w:val="nil"/>
            </w:tcBorders>
            <w:shd w:val="clear" w:color="auto" w:fill="auto"/>
            <w:vAlign w:val="center"/>
          </w:tcPr>
          <w:p w14:paraId="304D491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eastAsia" w:ascii="Times New Roman" w:hAnsi="Times New Roman" w:eastAsia="微软雅黑" w:cs="Times New Roman"/>
                <w:b w:val="0"/>
                <w:bCs w:val="0"/>
                <w:sz w:val="18"/>
                <w:szCs w:val="18"/>
                <w:vertAlign w:val="baseline"/>
                <w:lang w:val="en-US" w:eastAsia="zh-CN"/>
              </w:rPr>
              <w:t>用于自动化实验过程中试剂的存放</w:t>
            </w:r>
          </w:p>
        </w:tc>
        <w:tc>
          <w:tcPr>
            <w:tcW w:w="755" w:type="pct"/>
            <w:tcBorders>
              <w:top w:val="nil"/>
              <w:bottom w:val="nil"/>
            </w:tcBorders>
            <w:shd w:val="clear" w:color="auto" w:fill="auto"/>
            <w:vAlign w:val="center"/>
          </w:tcPr>
          <w:p w14:paraId="59C8D9E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eastAsia" w:ascii="Times New Roman" w:hAnsi="Times New Roman" w:eastAsia="微软雅黑" w:cs="Times New Roman"/>
                <w:b w:val="0"/>
                <w:bCs w:val="0"/>
                <w:sz w:val="18"/>
                <w:szCs w:val="18"/>
                <w:vertAlign w:val="baseline"/>
                <w:lang w:val="en-US" w:eastAsia="zh-CN"/>
              </w:rPr>
              <w:t>常温</w:t>
            </w:r>
          </w:p>
        </w:tc>
      </w:tr>
      <w:tr w14:paraId="20CEA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17" w:type="dxa"/>
            <w:tcBorders>
              <w:top w:val="nil"/>
              <w:bottom w:val="nil"/>
            </w:tcBorders>
            <w:shd w:val="clear" w:color="auto" w:fill="auto"/>
            <w:vAlign w:val="center"/>
          </w:tcPr>
          <w:p w14:paraId="2B7BC61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eastAsia" w:ascii="Times New Roman" w:hAnsi="Times New Roman" w:eastAsia="微软雅黑" w:cs="Times New Roman"/>
                <w:b w:val="0"/>
                <w:bCs w:val="0"/>
                <w:sz w:val="18"/>
                <w:szCs w:val="18"/>
                <w:vertAlign w:val="baseline"/>
                <w:lang w:val="en-US" w:eastAsia="zh-CN"/>
              </w:rPr>
              <w:t>试剂槽2</w:t>
            </w:r>
          </w:p>
        </w:tc>
        <w:tc>
          <w:tcPr>
            <w:tcW w:w="1645" w:type="dxa"/>
            <w:tcBorders>
              <w:top w:val="nil"/>
              <w:bottom w:val="nil"/>
            </w:tcBorders>
            <w:shd w:val="clear" w:color="auto" w:fill="auto"/>
            <w:vAlign w:val="center"/>
          </w:tcPr>
          <w:p w14:paraId="74C7BED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eastAsia" w:ascii="Times New Roman" w:hAnsi="Times New Roman" w:eastAsia="微软雅黑" w:cs="Times New Roman"/>
                <w:b w:val="0"/>
                <w:bCs w:val="0"/>
                <w:sz w:val="18"/>
                <w:szCs w:val="18"/>
                <w:vertAlign w:val="baseline"/>
                <w:lang w:val="en-US" w:eastAsia="zh-CN"/>
              </w:rPr>
              <w:t>1（96X）</w:t>
            </w:r>
          </w:p>
        </w:tc>
        <w:tc>
          <w:tcPr>
            <w:tcW w:w="4735" w:type="dxa"/>
            <w:tcBorders>
              <w:top w:val="nil"/>
              <w:bottom w:val="nil"/>
            </w:tcBorders>
            <w:shd w:val="clear" w:color="auto" w:fill="auto"/>
            <w:vAlign w:val="center"/>
          </w:tcPr>
          <w:p w14:paraId="251A127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eastAsia" w:ascii="Times New Roman" w:hAnsi="Times New Roman" w:eastAsia="微软雅黑" w:cs="Times New Roman"/>
                <w:b w:val="0"/>
                <w:bCs w:val="0"/>
                <w:sz w:val="18"/>
                <w:szCs w:val="18"/>
                <w:vertAlign w:val="baseline"/>
                <w:lang w:val="en-US" w:eastAsia="zh-CN"/>
              </w:rPr>
              <w:t>用于自动化实验过程中试剂的存放</w:t>
            </w:r>
          </w:p>
        </w:tc>
        <w:tc>
          <w:tcPr>
            <w:tcW w:w="1406" w:type="dxa"/>
            <w:tcBorders>
              <w:top w:val="nil"/>
              <w:bottom w:val="nil"/>
            </w:tcBorders>
            <w:shd w:val="clear" w:color="auto" w:fill="auto"/>
            <w:vAlign w:val="center"/>
          </w:tcPr>
          <w:p w14:paraId="3DA7932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eastAsia" w:ascii="Times New Roman" w:hAnsi="Times New Roman" w:eastAsia="微软雅黑" w:cs="Times New Roman"/>
                <w:b w:val="0"/>
                <w:bCs w:val="0"/>
                <w:sz w:val="18"/>
                <w:szCs w:val="18"/>
                <w:vertAlign w:val="baseline"/>
                <w:lang w:val="en-US" w:eastAsia="zh-CN"/>
              </w:rPr>
              <w:t>常温</w:t>
            </w:r>
          </w:p>
        </w:tc>
      </w:tr>
      <w:tr w14:paraId="38E37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shd w:val="clear" w:color="auto" w:fill="auto"/>
            <w:vAlign w:val="center"/>
          </w:tcPr>
          <w:p w14:paraId="791D3BB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eastAsia" w:ascii="Times New Roman" w:hAnsi="Times New Roman" w:eastAsia="微软雅黑" w:cs="Times New Roman"/>
                <w:b w:val="0"/>
                <w:bCs w:val="0"/>
                <w:sz w:val="18"/>
                <w:szCs w:val="18"/>
                <w:vertAlign w:val="baseline"/>
                <w:lang w:val="en-US" w:eastAsia="zh-CN"/>
              </w:rPr>
              <w:t>样本板</w:t>
            </w:r>
          </w:p>
        </w:tc>
        <w:tc>
          <w:tcPr>
            <w:tcW w:w="884" w:type="pct"/>
            <w:tcBorders>
              <w:top w:val="nil"/>
              <w:bottom w:val="nil"/>
            </w:tcBorders>
            <w:shd w:val="clear" w:color="auto" w:fill="auto"/>
            <w:vAlign w:val="center"/>
          </w:tcPr>
          <w:p w14:paraId="2C1549C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1（96X）</w:t>
            </w:r>
          </w:p>
        </w:tc>
        <w:tc>
          <w:tcPr>
            <w:tcW w:w="2544" w:type="pct"/>
            <w:tcBorders>
              <w:top w:val="nil"/>
              <w:bottom w:val="nil"/>
            </w:tcBorders>
            <w:shd w:val="clear" w:color="auto" w:fill="auto"/>
            <w:vAlign w:val="center"/>
          </w:tcPr>
          <w:p w14:paraId="3230659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用于</w:t>
            </w:r>
            <w:r>
              <w:rPr>
                <w:rFonts w:hint="eastAsia" w:ascii="Times New Roman" w:hAnsi="Times New Roman" w:eastAsia="微软雅黑" w:cs="Times New Roman"/>
                <w:b w:val="0"/>
                <w:bCs w:val="0"/>
                <w:sz w:val="18"/>
                <w:szCs w:val="18"/>
                <w:vertAlign w:val="baseline"/>
                <w:lang w:val="en-US" w:eastAsia="zh-CN"/>
              </w:rPr>
              <w:t>放置实验时的原始样本</w:t>
            </w:r>
          </w:p>
        </w:tc>
        <w:tc>
          <w:tcPr>
            <w:tcW w:w="755" w:type="pct"/>
            <w:tcBorders>
              <w:top w:val="nil"/>
              <w:bottom w:val="nil"/>
            </w:tcBorders>
            <w:shd w:val="clear" w:color="auto" w:fill="auto"/>
            <w:vAlign w:val="center"/>
          </w:tcPr>
          <w:p w14:paraId="43BFC91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常温</w:t>
            </w:r>
          </w:p>
        </w:tc>
      </w:tr>
      <w:tr w14:paraId="70A4A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shd w:val="clear" w:color="auto" w:fill="auto"/>
            <w:vAlign w:val="center"/>
          </w:tcPr>
          <w:p w14:paraId="795205A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Waste 板</w:t>
            </w:r>
          </w:p>
        </w:tc>
        <w:tc>
          <w:tcPr>
            <w:tcW w:w="884" w:type="pct"/>
            <w:tcBorders>
              <w:top w:val="nil"/>
              <w:bottom w:val="nil"/>
            </w:tcBorders>
            <w:shd w:val="clear" w:color="auto" w:fill="auto"/>
            <w:vAlign w:val="center"/>
          </w:tcPr>
          <w:p w14:paraId="20A4408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eastAsia" w:ascii="Times New Roman" w:hAnsi="Times New Roman" w:eastAsia="微软雅黑" w:cs="Times New Roman"/>
                <w:b w:val="0"/>
                <w:bCs w:val="0"/>
                <w:sz w:val="18"/>
                <w:szCs w:val="18"/>
                <w:vertAlign w:val="baseline"/>
                <w:lang w:val="en-US" w:eastAsia="zh-CN"/>
              </w:rPr>
              <w:t>1</w:t>
            </w:r>
            <w:r>
              <w:rPr>
                <w:rFonts w:hint="default" w:ascii="Times New Roman" w:hAnsi="Times New Roman" w:eastAsia="微软雅黑" w:cs="Times New Roman"/>
                <w:b w:val="0"/>
                <w:bCs w:val="0"/>
                <w:sz w:val="18"/>
                <w:szCs w:val="18"/>
                <w:vertAlign w:val="baseline"/>
                <w:lang w:val="en-US" w:eastAsia="zh-CN"/>
              </w:rPr>
              <w:t>（96X）</w:t>
            </w:r>
          </w:p>
        </w:tc>
        <w:tc>
          <w:tcPr>
            <w:tcW w:w="2544" w:type="pct"/>
            <w:tcBorders>
              <w:top w:val="nil"/>
              <w:bottom w:val="nil"/>
            </w:tcBorders>
            <w:shd w:val="clear" w:color="auto" w:fill="auto"/>
            <w:vAlign w:val="center"/>
          </w:tcPr>
          <w:p w14:paraId="20DA30C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清洗肽段废液收集</w:t>
            </w:r>
          </w:p>
        </w:tc>
        <w:tc>
          <w:tcPr>
            <w:tcW w:w="755" w:type="pct"/>
            <w:tcBorders>
              <w:top w:val="nil"/>
              <w:bottom w:val="nil"/>
            </w:tcBorders>
            <w:shd w:val="clear" w:color="auto" w:fill="auto"/>
            <w:vAlign w:val="center"/>
          </w:tcPr>
          <w:p w14:paraId="6B3533D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常温</w:t>
            </w:r>
          </w:p>
        </w:tc>
      </w:tr>
      <w:tr w14:paraId="493EF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shd w:val="clear" w:color="auto" w:fill="auto"/>
            <w:vAlign w:val="center"/>
          </w:tcPr>
          <w:p w14:paraId="53260A8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Collection 板</w:t>
            </w:r>
          </w:p>
        </w:tc>
        <w:tc>
          <w:tcPr>
            <w:tcW w:w="884" w:type="pct"/>
            <w:tcBorders>
              <w:top w:val="nil"/>
              <w:bottom w:val="nil"/>
            </w:tcBorders>
            <w:shd w:val="clear" w:color="auto" w:fill="auto"/>
            <w:vAlign w:val="center"/>
          </w:tcPr>
          <w:p w14:paraId="1BC79A2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1（96X）</w:t>
            </w:r>
          </w:p>
        </w:tc>
        <w:tc>
          <w:tcPr>
            <w:tcW w:w="2544" w:type="pct"/>
            <w:tcBorders>
              <w:top w:val="nil"/>
              <w:bottom w:val="nil"/>
            </w:tcBorders>
            <w:shd w:val="clear" w:color="auto" w:fill="auto"/>
            <w:vAlign w:val="center"/>
          </w:tcPr>
          <w:p w14:paraId="793FCD7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洗脱肽段收集</w:t>
            </w:r>
          </w:p>
        </w:tc>
        <w:tc>
          <w:tcPr>
            <w:tcW w:w="755" w:type="pct"/>
            <w:tcBorders>
              <w:top w:val="nil"/>
              <w:bottom w:val="nil"/>
            </w:tcBorders>
            <w:shd w:val="clear" w:color="auto" w:fill="auto"/>
            <w:vAlign w:val="center"/>
          </w:tcPr>
          <w:p w14:paraId="51F4F00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常温</w:t>
            </w:r>
          </w:p>
        </w:tc>
      </w:tr>
      <w:tr w14:paraId="2AC76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0" w:type="auto"/>
            <w:tcBorders>
              <w:top w:val="nil"/>
              <w:bottom w:val="nil"/>
            </w:tcBorders>
            <w:shd w:val="clear" w:color="auto" w:fill="auto"/>
            <w:vAlign w:val="center"/>
          </w:tcPr>
          <w:p w14:paraId="044EFF45">
            <w:pPr>
              <w:keepNext w:val="0"/>
              <w:keepLines w:val="0"/>
              <w:pageBreakBefore w:val="0"/>
              <w:widowControl w:val="0"/>
              <w:numPr>
                <w:ilvl w:val="0"/>
                <w:numId w:val="0"/>
              </w:numPr>
              <w:tabs>
                <w:tab w:val="left" w:pos="494"/>
              </w:tabs>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封口膜</w:t>
            </w:r>
          </w:p>
        </w:tc>
        <w:tc>
          <w:tcPr>
            <w:tcW w:w="0" w:type="auto"/>
            <w:tcBorders>
              <w:top w:val="nil"/>
              <w:bottom w:val="nil"/>
            </w:tcBorders>
            <w:shd w:val="clear" w:color="auto" w:fill="auto"/>
            <w:vAlign w:val="center"/>
          </w:tcPr>
          <w:p w14:paraId="0737722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eastAsia" w:ascii="Times New Roman" w:hAnsi="Times New Roman" w:eastAsia="微软雅黑" w:cs="Times New Roman"/>
                <w:b w:val="0"/>
                <w:bCs w:val="0"/>
                <w:sz w:val="18"/>
                <w:szCs w:val="18"/>
                <w:vertAlign w:val="baseline"/>
                <w:lang w:val="en-US" w:eastAsia="zh-CN"/>
              </w:rPr>
              <w:t>1</w:t>
            </w:r>
          </w:p>
        </w:tc>
        <w:tc>
          <w:tcPr>
            <w:tcW w:w="0" w:type="auto"/>
            <w:tcBorders>
              <w:top w:val="nil"/>
              <w:bottom w:val="nil"/>
            </w:tcBorders>
            <w:shd w:val="clear" w:color="auto" w:fill="auto"/>
            <w:vAlign w:val="center"/>
          </w:tcPr>
          <w:p w14:paraId="598DCEF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96孔板封口</w:t>
            </w:r>
          </w:p>
        </w:tc>
        <w:tc>
          <w:tcPr>
            <w:tcW w:w="0" w:type="auto"/>
            <w:tcBorders>
              <w:top w:val="nil"/>
              <w:bottom w:val="nil"/>
            </w:tcBorders>
            <w:shd w:val="clear" w:color="auto" w:fill="auto"/>
            <w:vAlign w:val="center"/>
          </w:tcPr>
          <w:p w14:paraId="502CD1B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常温</w:t>
            </w:r>
          </w:p>
        </w:tc>
      </w:tr>
      <w:tr w14:paraId="6BEA4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0" w:type="auto"/>
            <w:tcBorders>
              <w:top w:val="nil"/>
              <w:bottom w:val="single" w:color="auto" w:sz="4" w:space="0"/>
            </w:tcBorders>
            <w:shd w:val="clear" w:color="auto" w:fill="auto"/>
            <w:vAlign w:val="center"/>
          </w:tcPr>
          <w:p w14:paraId="7E32C76D">
            <w:pPr>
              <w:keepNext w:val="0"/>
              <w:keepLines w:val="0"/>
              <w:pageBreakBefore w:val="0"/>
              <w:widowControl w:val="0"/>
              <w:numPr>
                <w:ilvl w:val="0"/>
                <w:numId w:val="0"/>
              </w:numPr>
              <w:tabs>
                <w:tab w:val="left" w:pos="494"/>
              </w:tabs>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b w:val="0"/>
                <w:bCs w:val="0"/>
                <w:kern w:val="2"/>
                <w:sz w:val="18"/>
                <w:szCs w:val="18"/>
                <w:vertAlign w:val="baseline"/>
                <w:lang w:val="en-US" w:eastAsia="zh-CN" w:bidi="ar-SA"/>
              </w:rPr>
            </w:pPr>
            <w:r>
              <w:rPr>
                <w:rFonts w:hint="eastAsia" w:ascii="Times New Roman" w:hAnsi="Times New Roman" w:eastAsia="微软雅黑" w:cs="Times New Roman"/>
                <w:b w:val="0"/>
                <w:bCs w:val="0"/>
                <w:sz w:val="18"/>
                <w:szCs w:val="18"/>
                <w:vertAlign w:val="baseline"/>
                <w:lang w:val="en-US" w:eastAsia="zh-CN"/>
              </w:rPr>
              <w:t>枪头</w:t>
            </w:r>
          </w:p>
        </w:tc>
        <w:tc>
          <w:tcPr>
            <w:tcW w:w="0" w:type="auto"/>
            <w:tcBorders>
              <w:top w:val="nil"/>
              <w:bottom w:val="single" w:color="auto" w:sz="4" w:space="0"/>
            </w:tcBorders>
            <w:shd w:val="clear" w:color="auto" w:fill="auto"/>
            <w:vAlign w:val="center"/>
          </w:tcPr>
          <w:p w14:paraId="6CD979A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b w:val="0"/>
                <w:bCs w:val="0"/>
                <w:kern w:val="2"/>
                <w:sz w:val="18"/>
                <w:szCs w:val="18"/>
                <w:vertAlign w:val="baseline"/>
                <w:lang w:val="en-US" w:eastAsia="zh-CN" w:bidi="ar-SA"/>
              </w:rPr>
            </w:pPr>
            <w:r>
              <w:rPr>
                <w:rFonts w:hint="eastAsia" w:ascii="Times New Roman" w:hAnsi="Times New Roman" w:eastAsia="微软雅黑" w:cs="Times New Roman"/>
                <w:b w:val="0"/>
                <w:bCs w:val="0"/>
                <w:sz w:val="18"/>
                <w:szCs w:val="18"/>
                <w:vertAlign w:val="baseline"/>
                <w:lang w:val="en-US" w:eastAsia="zh-CN"/>
              </w:rPr>
              <w:t>4</w:t>
            </w:r>
          </w:p>
        </w:tc>
        <w:tc>
          <w:tcPr>
            <w:tcW w:w="0" w:type="auto"/>
            <w:tcBorders>
              <w:top w:val="nil"/>
              <w:bottom w:val="single" w:color="auto" w:sz="4" w:space="0"/>
            </w:tcBorders>
            <w:shd w:val="clear" w:color="auto" w:fill="auto"/>
            <w:vAlign w:val="center"/>
          </w:tcPr>
          <w:p w14:paraId="71C9F9A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b w:val="0"/>
                <w:bCs w:val="0"/>
                <w:kern w:val="2"/>
                <w:sz w:val="18"/>
                <w:szCs w:val="18"/>
                <w:vertAlign w:val="baseline"/>
                <w:lang w:val="en-US" w:eastAsia="zh-CN" w:bidi="ar-SA"/>
              </w:rPr>
            </w:pPr>
            <w:r>
              <w:rPr>
                <w:rFonts w:hint="eastAsia" w:ascii="Times New Roman" w:hAnsi="Times New Roman" w:eastAsia="微软雅黑" w:cs="Times New Roman"/>
                <w:b w:val="0"/>
                <w:bCs w:val="0"/>
                <w:sz w:val="18"/>
                <w:szCs w:val="18"/>
                <w:vertAlign w:val="baseline"/>
                <w:lang w:val="en-US" w:eastAsia="zh-CN"/>
              </w:rPr>
              <w:t>实验用枪头</w:t>
            </w:r>
          </w:p>
        </w:tc>
        <w:tc>
          <w:tcPr>
            <w:tcW w:w="0" w:type="auto"/>
            <w:tcBorders>
              <w:top w:val="nil"/>
              <w:bottom w:val="single" w:color="auto" w:sz="4" w:space="0"/>
            </w:tcBorders>
            <w:shd w:val="clear" w:color="auto" w:fill="auto"/>
            <w:vAlign w:val="center"/>
          </w:tcPr>
          <w:p w14:paraId="2E5FEC1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b w:val="0"/>
                <w:bCs w:val="0"/>
                <w:kern w:val="2"/>
                <w:sz w:val="18"/>
                <w:szCs w:val="18"/>
                <w:vertAlign w:val="baseline"/>
                <w:lang w:val="en-US" w:eastAsia="zh-CN" w:bidi="ar-SA"/>
              </w:rPr>
            </w:pPr>
            <w:r>
              <w:rPr>
                <w:rFonts w:hint="eastAsia" w:ascii="Times New Roman" w:hAnsi="Times New Roman" w:eastAsia="微软雅黑" w:cs="Times New Roman"/>
                <w:b w:val="0"/>
                <w:bCs w:val="0"/>
                <w:sz w:val="18"/>
                <w:szCs w:val="18"/>
                <w:vertAlign w:val="baseline"/>
                <w:lang w:val="en-US" w:eastAsia="zh-CN"/>
              </w:rPr>
              <w:t>常温</w:t>
            </w:r>
          </w:p>
        </w:tc>
      </w:tr>
    </w:tbl>
    <w:p w14:paraId="3CBF790F">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试剂盒简介</w:t>
      </w:r>
    </w:p>
    <w:p w14:paraId="2A9E1B5E">
      <w:pPr>
        <w:jc w:val="left"/>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易肽DeeP低丰度蛋白富集试剂盒基于功能性生物磁珠对生物样本中低丰度蛋白进行富集，突破物种和蛋白种类的限制。基于简单的孵育-磁分离-清洗三步即可实现高效快速的低丰度蛋白富集。</w:t>
      </w:r>
    </w:p>
    <w:p w14:paraId="51DCAB66">
      <w:pPr>
        <w:jc w:val="left"/>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功能性生物磁珠是指表面修饰有功能性基团的具有超顺磁性的磁性微粒，表面的功能性基团包括羧基（PuriMag Si-COOH，PuriMag）、氨基（PuriMag Si-NH2，PuriMag）、阳离子涂层（PuriMag Si-WAX，PuriMag）、阴离子涂层（PuriMag Si-WCX，PuriMag）和羟基（PuriMag GS-OH，PuriMag），可通过静电相互作用等非共价作用与生物样本中的蛋白进行结合，从而实现对低丰度蛋白高效快速富集。并且由于具有磁性，富集到的蛋白更易实现磁场下快速分离，操作更简单。</w:t>
      </w:r>
    </w:p>
    <w:p w14:paraId="006A5650">
      <w:pPr>
        <w:jc w:val="left"/>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同时，基于溶液内快速酶解的前处理方法，解决了蛋白洗脱不完全及传统方法耗时长的弊端，仅需3-4小时即可完成质谱检测前的所有步骤，实现低丰度蛋白的高效快速富集及制备，实现各种样本的蛋白质组深度覆盖检测。</w:t>
      </w:r>
    </w:p>
    <w:p w14:paraId="19B23226">
      <w:pPr>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drawing>
          <wp:inline distT="0" distB="0" distL="114300" distR="114300">
            <wp:extent cx="5267325" cy="4377690"/>
            <wp:effectExtent l="0" t="0" r="0" b="0"/>
            <wp:docPr id="10" name="图片 10" descr="F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Fe-8"/>
                    <pic:cNvPicPr>
                      <a:picLocks noChangeAspect="1"/>
                    </pic:cNvPicPr>
                  </pic:nvPicPr>
                  <pic:blipFill>
                    <a:blip r:embed="rId6"/>
                    <a:stretch>
                      <a:fillRect/>
                    </a:stretch>
                  </pic:blipFill>
                  <pic:spPr>
                    <a:xfrm>
                      <a:off x="0" y="0"/>
                      <a:ext cx="5267325" cy="4377690"/>
                    </a:xfrm>
                    <a:prstGeom prst="rect">
                      <a:avLst/>
                    </a:prstGeom>
                  </pic:spPr>
                </pic:pic>
              </a:graphicData>
            </a:graphic>
          </wp:inline>
        </w:drawing>
      </w:r>
    </w:p>
    <w:p w14:paraId="4D940DAA">
      <w:pPr>
        <w:numPr>
          <w:ilvl w:val="0"/>
          <w:numId w:val="1"/>
        </w:numPr>
        <w:spacing w:line="240" w:lineRule="auto"/>
        <w:ind w:left="0" w:leftChars="0" w:firstLine="0" w:firstLineChars="0"/>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需要准备的</w:t>
      </w:r>
      <w:r>
        <w:rPr>
          <w:rFonts w:hint="eastAsia" w:ascii="微软雅黑" w:hAnsi="微软雅黑" w:eastAsia="微软雅黑" w:cs="微软雅黑"/>
          <w:b/>
          <w:bCs/>
          <w:sz w:val="21"/>
          <w:szCs w:val="21"/>
          <w:lang w:val="en-US" w:eastAsia="zh-CN"/>
        </w:rPr>
        <w:t>设备</w:t>
      </w:r>
      <w:r>
        <w:rPr>
          <w:rFonts w:hint="eastAsia" w:ascii="微软雅黑" w:hAnsi="微软雅黑" w:eastAsia="微软雅黑" w:cs="微软雅黑"/>
          <w:b/>
          <w:bCs/>
          <w:sz w:val="21"/>
          <w:szCs w:val="21"/>
        </w:rPr>
        <w:t>耗材</w:t>
      </w:r>
    </w:p>
    <w:tbl>
      <w:tblPr>
        <w:tblStyle w:val="6"/>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15"/>
        <w:gridCol w:w="1531"/>
        <w:gridCol w:w="6060"/>
      </w:tblGrid>
      <w:tr w14:paraId="70377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single" w:color="auto" w:sz="6" w:space="0"/>
              <w:bottom w:val="single" w:color="auto" w:sz="4" w:space="0"/>
            </w:tcBorders>
            <w:vAlign w:val="center"/>
          </w:tcPr>
          <w:p w14:paraId="2C4F6FF4">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设备名称</w:t>
            </w:r>
          </w:p>
        </w:tc>
        <w:tc>
          <w:tcPr>
            <w:tcW w:w="822" w:type="pct"/>
            <w:tcBorders>
              <w:top w:val="single" w:color="auto" w:sz="6" w:space="0"/>
              <w:bottom w:val="single" w:color="auto" w:sz="4" w:space="0"/>
            </w:tcBorders>
            <w:vAlign w:val="center"/>
          </w:tcPr>
          <w:p w14:paraId="742EC08E">
            <w:pPr>
              <w:spacing w:line="240" w:lineRule="auto"/>
              <w:jc w:val="center"/>
              <w:rPr>
                <w:rFonts w:ascii="Times New Roman" w:hAnsi="Times New Roman" w:eastAsia="微软雅黑" w:cs="Times New Roman"/>
                <w:b/>
                <w:bCs/>
                <w:sz w:val="18"/>
                <w:szCs w:val="18"/>
              </w:rPr>
            </w:pPr>
          </w:p>
        </w:tc>
        <w:tc>
          <w:tcPr>
            <w:tcW w:w="3256" w:type="pct"/>
            <w:tcBorders>
              <w:top w:val="single" w:color="auto" w:sz="6" w:space="0"/>
              <w:bottom w:val="single" w:color="auto" w:sz="4" w:space="0"/>
            </w:tcBorders>
            <w:vAlign w:val="center"/>
          </w:tcPr>
          <w:p w14:paraId="655D8824">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简    介</w:t>
            </w:r>
          </w:p>
        </w:tc>
      </w:tr>
      <w:tr w14:paraId="44369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single" w:color="auto" w:sz="4" w:space="0"/>
              <w:bottom w:val="nil"/>
            </w:tcBorders>
            <w:vAlign w:val="center"/>
          </w:tcPr>
          <w:p w14:paraId="3A6E1EE9">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移液器</w:t>
            </w:r>
          </w:p>
        </w:tc>
        <w:tc>
          <w:tcPr>
            <w:tcW w:w="822" w:type="pct"/>
            <w:tcBorders>
              <w:top w:val="single" w:color="auto" w:sz="4" w:space="0"/>
              <w:bottom w:val="nil"/>
            </w:tcBorders>
            <w:vAlign w:val="center"/>
          </w:tcPr>
          <w:p w14:paraId="01989DB5">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379730" cy="494030"/>
                  <wp:effectExtent l="0" t="0" r="1270" b="8890"/>
                  <wp:docPr id="5" name="图片 5" descr="移液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移液枪"/>
                          <pic:cNvPicPr>
                            <a:picLocks noChangeAspect="1"/>
                          </pic:cNvPicPr>
                        </pic:nvPicPr>
                        <pic:blipFill>
                          <a:blip r:embed="rId7">
                            <a:extLst>
                              <a:ext uri="{96DAC541-7B7A-43D3-8B79-37D633B846F1}">
                                <asvg:svgBlip xmlns:asvg="http://schemas.microsoft.com/office/drawing/2016/SVG/main" r:embed="rId8"/>
                              </a:ext>
                            </a:extLst>
                          </a:blip>
                          <a:srcRect l="34574" t="14811" r="34917" b="10270"/>
                          <a:stretch>
                            <a:fillRect/>
                          </a:stretch>
                        </pic:blipFill>
                        <pic:spPr>
                          <a:xfrm>
                            <a:off x="0" y="0"/>
                            <a:ext cx="379730" cy="494030"/>
                          </a:xfrm>
                          <a:prstGeom prst="rect">
                            <a:avLst/>
                          </a:prstGeom>
                        </pic:spPr>
                      </pic:pic>
                    </a:graphicData>
                  </a:graphic>
                </wp:inline>
              </w:drawing>
            </w:r>
          </w:p>
        </w:tc>
        <w:tc>
          <w:tcPr>
            <w:tcW w:w="3256" w:type="pct"/>
            <w:tcBorders>
              <w:top w:val="single" w:color="auto" w:sz="4" w:space="0"/>
              <w:bottom w:val="nil"/>
            </w:tcBorders>
            <w:vAlign w:val="center"/>
          </w:tcPr>
          <w:p w14:paraId="4C694AD2">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吸取蛋白提取过程中的蛋白上清，减少污染物，提高蛋白定量准确度</w:t>
            </w:r>
          </w:p>
        </w:tc>
      </w:tr>
      <w:tr w14:paraId="44CA9A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nil"/>
              <w:bottom w:val="nil"/>
            </w:tcBorders>
            <w:vAlign w:val="center"/>
          </w:tcPr>
          <w:p w14:paraId="0072D854">
            <w:pPr>
              <w:spacing w:line="240" w:lineRule="auto"/>
              <w:jc w:val="center"/>
              <w:rPr>
                <w:rFonts w:ascii="Times New Roman" w:hAnsi="Times New Roman" w:eastAsia="微软雅黑" w:cs="Times New Roman"/>
                <w:sz w:val="18"/>
                <w:szCs w:val="18"/>
              </w:rPr>
            </w:pPr>
            <w:r>
              <w:rPr>
                <w:rFonts w:hint="eastAsia" w:ascii="Times New Roman" w:hAnsi="Times New Roman" w:eastAsia="微软雅黑" w:cs="Times New Roman"/>
                <w:sz w:val="18"/>
                <w:szCs w:val="18"/>
              </w:rPr>
              <w:t>磁力架</w:t>
            </w:r>
          </w:p>
        </w:tc>
        <w:tc>
          <w:tcPr>
            <w:tcW w:w="822" w:type="pct"/>
            <w:tcBorders>
              <w:top w:val="nil"/>
              <w:bottom w:val="nil"/>
            </w:tcBorders>
            <w:vAlign w:val="center"/>
          </w:tcPr>
          <w:p w14:paraId="4D42314B">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749935" cy="342265"/>
                  <wp:effectExtent l="0" t="0" r="12065" b="8255"/>
                  <wp:docPr id="6" name="图片 6" descr="磁力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磁力架"/>
                          <pic:cNvPicPr>
                            <a:picLocks noChangeAspect="1"/>
                          </pic:cNvPicPr>
                        </pic:nvPicPr>
                        <pic:blipFill>
                          <a:blip r:embed="rId9">
                            <a:extLst>
                              <a:ext uri="{96DAC541-7B7A-43D3-8B79-37D633B846F1}">
                                <asvg:svgBlip xmlns:asvg="http://schemas.microsoft.com/office/drawing/2016/SVG/main" r:embed="rId10"/>
                              </a:ext>
                            </a:extLst>
                          </a:blip>
                          <a:srcRect l="14654" t="22686" r="28392" b="31129"/>
                          <a:stretch>
                            <a:fillRect/>
                          </a:stretch>
                        </pic:blipFill>
                        <pic:spPr>
                          <a:xfrm>
                            <a:off x="0" y="0"/>
                            <a:ext cx="749935" cy="342265"/>
                          </a:xfrm>
                          <a:prstGeom prst="rect">
                            <a:avLst/>
                          </a:prstGeom>
                        </pic:spPr>
                      </pic:pic>
                    </a:graphicData>
                  </a:graphic>
                </wp:inline>
              </w:drawing>
            </w:r>
          </w:p>
        </w:tc>
        <w:tc>
          <w:tcPr>
            <w:tcW w:w="3256" w:type="pct"/>
            <w:tcBorders>
              <w:top w:val="nil"/>
              <w:bottom w:val="nil"/>
            </w:tcBorders>
            <w:vAlign w:val="center"/>
          </w:tcPr>
          <w:p w14:paraId="3D1B5DDB">
            <w:pPr>
              <w:spacing w:line="240" w:lineRule="auto"/>
              <w:jc w:val="left"/>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sz w:val="18"/>
                <w:szCs w:val="18"/>
              </w:rPr>
              <w:t>用于磁性</w:t>
            </w:r>
            <w:r>
              <w:rPr>
                <w:rFonts w:hint="eastAsia" w:ascii="Times New Roman" w:hAnsi="Times New Roman" w:eastAsia="微软雅黑" w:cs="Times New Roman"/>
                <w:sz w:val="18"/>
                <w:szCs w:val="18"/>
                <w:lang w:val="en-US" w:eastAsia="zh-CN"/>
              </w:rPr>
              <w:t>微粒</w:t>
            </w:r>
            <w:r>
              <w:rPr>
                <w:rFonts w:hint="eastAsia" w:ascii="Times New Roman" w:hAnsi="Times New Roman" w:eastAsia="微软雅黑" w:cs="Times New Roman"/>
                <w:sz w:val="18"/>
                <w:szCs w:val="18"/>
              </w:rPr>
              <w:t>的清洗及去除</w:t>
            </w:r>
            <w:r>
              <w:rPr>
                <w:rFonts w:hint="eastAsia" w:ascii="Times New Roman" w:hAnsi="Times New Roman" w:eastAsia="微软雅黑" w:cs="Times New Roman"/>
                <w:sz w:val="18"/>
                <w:szCs w:val="18"/>
                <w:lang w:eastAsia="zh-CN"/>
              </w:rPr>
              <w:t>，</w:t>
            </w:r>
            <w:r>
              <w:rPr>
                <w:rFonts w:hint="eastAsia" w:ascii="Times New Roman" w:hAnsi="Times New Roman" w:eastAsia="微软雅黑" w:cs="Times New Roman"/>
                <w:sz w:val="18"/>
                <w:szCs w:val="18"/>
                <w:lang w:val="en-US" w:eastAsia="zh-CN"/>
              </w:rPr>
              <w:t>高通量操作可使用磁力棒</w:t>
            </w:r>
          </w:p>
        </w:tc>
      </w:tr>
      <w:tr w14:paraId="1D30F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nil"/>
              <w:bottom w:val="nil"/>
            </w:tcBorders>
            <w:vAlign w:val="center"/>
          </w:tcPr>
          <w:p w14:paraId="0E86B9C3">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恒温混匀仪</w:t>
            </w:r>
          </w:p>
        </w:tc>
        <w:tc>
          <w:tcPr>
            <w:tcW w:w="822" w:type="pct"/>
            <w:tcBorders>
              <w:top w:val="nil"/>
              <w:bottom w:val="nil"/>
            </w:tcBorders>
            <w:vAlign w:val="center"/>
          </w:tcPr>
          <w:p w14:paraId="194ED0F4">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607060" cy="504825"/>
                  <wp:effectExtent l="0" t="0" r="2540" b="13335"/>
                  <wp:docPr id="7" name="图片 7" descr="恒温混匀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恒温混匀仪"/>
                          <pic:cNvPicPr>
                            <a:picLocks noChangeAspect="1"/>
                          </pic:cNvPicPr>
                        </pic:nvPicPr>
                        <pic:blipFill>
                          <a:blip r:embed="rId11">
                            <a:extLst>
                              <a:ext uri="{96DAC541-7B7A-43D3-8B79-37D633B846F1}">
                                <asvg:svgBlip xmlns:asvg="http://schemas.microsoft.com/office/drawing/2016/SVG/main" r:embed="rId12"/>
                              </a:ext>
                            </a:extLst>
                          </a:blip>
                          <a:srcRect l="22839" t="16378" r="32914" b="18311"/>
                          <a:stretch>
                            <a:fillRect/>
                          </a:stretch>
                        </pic:blipFill>
                        <pic:spPr>
                          <a:xfrm>
                            <a:off x="0" y="0"/>
                            <a:ext cx="607060" cy="504825"/>
                          </a:xfrm>
                          <a:prstGeom prst="rect">
                            <a:avLst/>
                          </a:prstGeom>
                        </pic:spPr>
                      </pic:pic>
                    </a:graphicData>
                  </a:graphic>
                </wp:inline>
              </w:drawing>
            </w:r>
          </w:p>
        </w:tc>
        <w:tc>
          <w:tcPr>
            <w:tcW w:w="3256" w:type="pct"/>
            <w:tcBorders>
              <w:top w:val="nil"/>
              <w:bottom w:val="nil"/>
            </w:tcBorders>
            <w:vAlign w:val="center"/>
          </w:tcPr>
          <w:p w14:paraId="68A9D10E">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提供95℃及37℃的恒温条件，促进蛋白质的裂解与酶解</w:t>
            </w:r>
          </w:p>
        </w:tc>
      </w:tr>
      <w:tr w14:paraId="062F4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nil"/>
              <w:bottom w:val="nil"/>
            </w:tcBorders>
            <w:vAlign w:val="center"/>
          </w:tcPr>
          <w:p w14:paraId="596FA060">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冷冻/常温离心机</w:t>
            </w:r>
          </w:p>
        </w:tc>
        <w:tc>
          <w:tcPr>
            <w:tcW w:w="822" w:type="pct"/>
            <w:tcBorders>
              <w:top w:val="nil"/>
              <w:bottom w:val="nil"/>
            </w:tcBorders>
            <w:vAlign w:val="center"/>
          </w:tcPr>
          <w:p w14:paraId="2DCD3452">
            <w:pPr>
              <w:spacing w:line="240" w:lineRule="auto"/>
              <w:jc w:val="center"/>
              <w:rPr>
                <w:rFonts w:hint="eastAsia" w:ascii="Times New Roman" w:hAnsi="Times New Roman" w:eastAsia="微软雅黑" w:cs="Times New Roman"/>
                <w:sz w:val="18"/>
                <w:szCs w:val="18"/>
                <w:lang w:eastAsia="zh-CN"/>
              </w:rPr>
            </w:pPr>
            <w:r>
              <w:drawing>
                <wp:inline distT="0" distB="0" distL="114300" distR="114300">
                  <wp:extent cx="666115" cy="582930"/>
                  <wp:effectExtent l="0" t="0" r="8255" b="127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3"/>
                          <a:stretch>
                            <a:fillRect/>
                          </a:stretch>
                        </pic:blipFill>
                        <pic:spPr>
                          <a:xfrm>
                            <a:off x="0" y="0"/>
                            <a:ext cx="666115" cy="582930"/>
                          </a:xfrm>
                          <a:prstGeom prst="rect">
                            <a:avLst/>
                          </a:prstGeom>
                          <a:noFill/>
                          <a:ln>
                            <a:noFill/>
                          </a:ln>
                        </pic:spPr>
                      </pic:pic>
                    </a:graphicData>
                  </a:graphic>
                </wp:inline>
              </w:drawing>
            </w:r>
          </w:p>
        </w:tc>
        <w:tc>
          <w:tcPr>
            <w:tcW w:w="3256" w:type="pct"/>
            <w:tcBorders>
              <w:top w:val="nil"/>
              <w:bottom w:val="nil"/>
            </w:tcBorders>
            <w:vAlign w:val="center"/>
          </w:tcPr>
          <w:p w14:paraId="10909A01">
            <w:pPr>
              <w:spacing w:line="240" w:lineRule="auto"/>
              <w:jc w:val="left"/>
              <w:rPr>
                <w:rFonts w:hint="eastAsia" w:ascii="Times New Roman" w:hAnsi="Times New Roman" w:eastAsia="微软雅黑" w:cs="Times New Roman"/>
                <w:sz w:val="18"/>
                <w:szCs w:val="18"/>
                <w:lang w:val="en-US" w:eastAsia="zh-CN"/>
              </w:rPr>
            </w:pPr>
            <w:r>
              <w:rPr>
                <w:rFonts w:ascii="Times New Roman" w:hAnsi="Times New Roman" w:eastAsia="微软雅黑" w:cs="Times New Roman"/>
                <w:sz w:val="18"/>
                <w:szCs w:val="18"/>
              </w:rPr>
              <w:t>冷冻离心机用于蛋白提取，常温离心机用于肽段脱盐，适配器支持1.5/2ml离心管</w:t>
            </w:r>
            <w:r>
              <w:rPr>
                <w:rFonts w:hint="eastAsia" w:ascii="Times New Roman" w:hAnsi="Times New Roman" w:eastAsia="微软雅黑" w:cs="Times New Roman"/>
                <w:sz w:val="18"/>
                <w:szCs w:val="18"/>
                <w:lang w:val="en-US" w:eastAsia="zh-CN"/>
              </w:rPr>
              <w:t>,</w:t>
            </w:r>
            <w:r>
              <w:rPr>
                <w:rFonts w:hint="eastAsia" w:ascii="Times New Roman" w:hAnsi="Times New Roman" w:eastAsia="微软雅黑" w:cs="Times New Roman"/>
                <w:sz w:val="18"/>
                <w:szCs w:val="18"/>
                <w:lang w:eastAsia="zh-CN"/>
              </w:rPr>
              <w:t>，</w:t>
            </w:r>
            <w:r>
              <w:rPr>
                <w:rFonts w:hint="eastAsia" w:ascii="Times New Roman" w:hAnsi="Times New Roman" w:eastAsia="微软雅黑" w:cs="Times New Roman"/>
                <w:sz w:val="18"/>
                <w:szCs w:val="18"/>
                <w:lang w:val="en-US" w:eastAsia="zh-CN"/>
              </w:rPr>
              <w:t>高通量操作需要适配96孔板</w:t>
            </w:r>
          </w:p>
        </w:tc>
      </w:tr>
      <w:tr w14:paraId="56AE2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jc w:val="center"/>
        </w:trPr>
        <w:tc>
          <w:tcPr>
            <w:tcW w:w="921" w:type="pct"/>
            <w:tcBorders>
              <w:top w:val="nil"/>
              <w:bottom w:val="single" w:color="auto" w:sz="4" w:space="0"/>
            </w:tcBorders>
            <w:vAlign w:val="center"/>
          </w:tcPr>
          <w:p w14:paraId="0BD3C025">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真空离心浓缩仪</w:t>
            </w:r>
          </w:p>
        </w:tc>
        <w:tc>
          <w:tcPr>
            <w:tcW w:w="822" w:type="pct"/>
            <w:tcBorders>
              <w:top w:val="nil"/>
              <w:bottom w:val="single" w:color="auto" w:sz="4" w:space="0"/>
            </w:tcBorders>
            <w:vAlign w:val="center"/>
          </w:tcPr>
          <w:p w14:paraId="559DCFF0">
            <w:pPr>
              <w:spacing w:line="240" w:lineRule="auto"/>
              <w:jc w:val="left"/>
              <w:rPr>
                <w:rFonts w:ascii="Times New Roman" w:hAnsi="Times New Roman" w:eastAsia="微软雅黑" w:cs="Times New Roman"/>
                <w:sz w:val="18"/>
                <w:szCs w:val="18"/>
              </w:rPr>
            </w:pPr>
            <w:r>
              <w:rPr>
                <w:rFonts w:hint="default" w:ascii="Times New Roman" w:hAnsi="Times New Roman" w:eastAsia="微软雅黑" w:cs="Times New Roman"/>
              </w:rPr>
              <w:drawing>
                <wp:inline distT="0" distB="0" distL="114300" distR="114300">
                  <wp:extent cx="759460" cy="937895"/>
                  <wp:effectExtent l="0" t="0" r="254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4"/>
                          <a:stretch>
                            <a:fillRect/>
                          </a:stretch>
                        </pic:blipFill>
                        <pic:spPr>
                          <a:xfrm>
                            <a:off x="0" y="0"/>
                            <a:ext cx="759460" cy="937895"/>
                          </a:xfrm>
                          <a:prstGeom prst="rect">
                            <a:avLst/>
                          </a:prstGeom>
                          <a:noFill/>
                          <a:ln>
                            <a:noFill/>
                          </a:ln>
                        </pic:spPr>
                      </pic:pic>
                    </a:graphicData>
                  </a:graphic>
                </wp:inline>
              </w:drawing>
            </w:r>
          </w:p>
        </w:tc>
        <w:tc>
          <w:tcPr>
            <w:tcW w:w="3256" w:type="pct"/>
            <w:tcBorders>
              <w:top w:val="nil"/>
              <w:bottom w:val="single" w:color="auto" w:sz="4" w:space="0"/>
            </w:tcBorders>
            <w:vAlign w:val="center"/>
          </w:tcPr>
          <w:p w14:paraId="1E0112F4">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脱盐后的肽段抽干</w:t>
            </w:r>
          </w:p>
        </w:tc>
      </w:tr>
    </w:tbl>
    <w:p w14:paraId="25AC6871">
      <w:pPr>
        <w:spacing w:line="240" w:lineRule="auto"/>
        <w:rPr>
          <w:rFonts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4</w:t>
      </w:r>
      <w:r>
        <w:rPr>
          <w:rFonts w:ascii="Times New Roman" w:hAnsi="Times New Roman" w:eastAsia="微软雅黑" w:cs="Times New Roman"/>
          <w:b/>
          <w:bCs/>
          <w:sz w:val="21"/>
          <w:szCs w:val="21"/>
        </w:rPr>
        <w:t>. 操作过程</w:t>
      </w:r>
    </w:p>
    <w:p w14:paraId="5F84295F">
      <w:pPr>
        <w:spacing w:line="240" w:lineRule="auto"/>
        <w:rPr>
          <w:rFonts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4</w:t>
      </w:r>
      <w:r>
        <w:rPr>
          <w:rFonts w:ascii="Times New Roman" w:hAnsi="Times New Roman" w:eastAsia="微软雅黑" w:cs="Times New Roman"/>
          <w:b/>
          <w:bCs/>
          <w:sz w:val="21"/>
          <w:szCs w:val="21"/>
        </w:rPr>
        <w:t>.1  蛋白富集</w:t>
      </w:r>
    </w:p>
    <w:p w14:paraId="791FB760">
      <w:pPr>
        <w:spacing w:line="240" w:lineRule="auto"/>
        <w:rPr>
          <w:rFonts w:ascii="Times New Roman" w:hAnsi="Times New Roman" w:eastAsia="微软雅黑" w:cs="Times New Roman"/>
          <w:color w:val="000000"/>
          <w:kern w:val="0"/>
          <w:sz w:val="21"/>
          <w:szCs w:val="21"/>
          <w:lang w:bidi="ar"/>
        </w:rPr>
      </w:pPr>
      <w:r>
        <w:rPr>
          <w:rFonts w:hint="eastAsia" w:ascii="Times New Roman" w:hAnsi="Times New Roman" w:eastAsia="微软雅黑" w:cs="Times New Roman"/>
          <w:color w:val="000000"/>
          <w:kern w:val="0"/>
          <w:sz w:val="21"/>
          <w:szCs w:val="21"/>
          <w:lang w:bidi="ar"/>
        </w:rPr>
        <w:t xml:space="preserve">a. </w:t>
      </w:r>
      <w:r>
        <w:rPr>
          <w:rFonts w:hint="eastAsia" w:ascii="Times New Roman" w:hAnsi="Times New Roman" w:eastAsia="微软雅黑" w:cs="Times New Roman"/>
          <w:color w:val="000000"/>
          <w:kern w:val="0"/>
          <w:sz w:val="21"/>
          <w:szCs w:val="21"/>
          <w:lang w:val="en-US" w:eastAsia="zh-CN" w:bidi="ar"/>
        </w:rPr>
        <w:t>使用前，取出试剂H通过吹打或者超声使其分散均匀，然后</w:t>
      </w:r>
      <w:r>
        <w:rPr>
          <w:rFonts w:ascii="Times New Roman" w:hAnsi="Times New Roman" w:eastAsia="微软雅黑" w:cs="Times New Roman"/>
          <w:color w:val="000000"/>
          <w:kern w:val="0"/>
          <w:sz w:val="21"/>
          <w:szCs w:val="21"/>
          <w:lang w:bidi="ar"/>
        </w:rPr>
        <w:t>吸取</w:t>
      </w:r>
      <w:r>
        <w:rPr>
          <w:rFonts w:hint="eastAsia" w:ascii="Times New Roman" w:hAnsi="Times New Roman" w:eastAsia="微软雅黑" w:cs="Times New Roman"/>
          <w:color w:val="000000"/>
          <w:kern w:val="0"/>
          <w:sz w:val="21"/>
          <w:szCs w:val="21"/>
          <w:lang w:val="en-US" w:eastAsia="zh-CN" w:bidi="ar"/>
        </w:rPr>
        <w:t>10</w:t>
      </w:r>
      <w:r>
        <w:rPr>
          <w:rFonts w:ascii="Times New Roman" w:hAnsi="Times New Roman" w:eastAsia="微软雅黑" w:cs="Times New Roman"/>
          <w:color w:val="000000"/>
          <w:kern w:val="0"/>
          <w:sz w:val="21"/>
          <w:szCs w:val="21"/>
          <w:lang w:bidi="ar"/>
        </w:rPr>
        <w:t xml:space="preserve">0 </w:t>
      </w:r>
      <w:r>
        <w:rPr>
          <w:rFonts w:hint="default" w:ascii="Times New Roman" w:hAnsi="Times New Roman" w:eastAsia="微软雅黑" w:cs="Times New Roman"/>
          <w:color w:val="000000"/>
          <w:kern w:val="0"/>
          <w:sz w:val="21"/>
          <w:szCs w:val="21"/>
          <w:lang w:val="en-US" w:eastAsia="zh-CN" w:bidi="ar"/>
        </w:rPr>
        <w:t>μ</w:t>
      </w:r>
      <w:r>
        <w:rPr>
          <w:rFonts w:ascii="Times New Roman" w:hAnsi="Times New Roman" w:eastAsia="微软雅黑" w:cs="Times New Roman"/>
          <w:color w:val="000000"/>
          <w:kern w:val="0"/>
          <w:sz w:val="21"/>
          <w:szCs w:val="21"/>
          <w:lang w:bidi="ar"/>
        </w:rPr>
        <w:t>l</w:t>
      </w:r>
      <w:r>
        <w:rPr>
          <w:rFonts w:hint="eastAsia" w:ascii="Times New Roman" w:hAnsi="Times New Roman" w:eastAsia="微软雅黑" w:cs="Times New Roman"/>
          <w:color w:val="000000"/>
          <w:kern w:val="0"/>
          <w:sz w:val="21"/>
          <w:szCs w:val="21"/>
          <w:lang w:bidi="ar"/>
        </w:rPr>
        <w:t>试剂</w:t>
      </w:r>
      <w:r>
        <w:rPr>
          <w:rFonts w:hint="eastAsia" w:ascii="Times New Roman" w:hAnsi="Times New Roman" w:eastAsia="微软雅黑" w:cs="Times New Roman"/>
          <w:color w:val="000000"/>
          <w:kern w:val="0"/>
          <w:sz w:val="21"/>
          <w:szCs w:val="21"/>
          <w:lang w:val="en-US" w:eastAsia="zh-CN" w:bidi="ar"/>
        </w:rPr>
        <w:t>H加入到100</w:t>
      </w:r>
      <w:r>
        <w:rPr>
          <w:rFonts w:hint="default" w:ascii="Times New Roman" w:hAnsi="Times New Roman" w:eastAsia="微软雅黑" w:cs="Times New Roman"/>
          <w:color w:val="000000"/>
          <w:kern w:val="0"/>
          <w:sz w:val="21"/>
          <w:szCs w:val="21"/>
          <w:lang w:val="en-US" w:eastAsia="zh-CN" w:bidi="ar"/>
        </w:rPr>
        <w:t>μl</w:t>
      </w:r>
      <w:r>
        <w:rPr>
          <w:rFonts w:hint="eastAsia" w:ascii="Times New Roman" w:hAnsi="Times New Roman" w:eastAsia="微软雅黑" w:cs="Times New Roman"/>
          <w:color w:val="000000"/>
          <w:kern w:val="0"/>
          <w:sz w:val="21"/>
          <w:szCs w:val="21"/>
          <w:lang w:val="en-US" w:eastAsia="zh-CN" w:bidi="ar"/>
        </w:rPr>
        <w:t>血浆样本中</w:t>
      </w:r>
      <w:r>
        <w:rPr>
          <w:rFonts w:ascii="Times New Roman" w:hAnsi="Times New Roman" w:eastAsia="微软雅黑" w:cs="Times New Roman"/>
          <w:color w:val="000000"/>
          <w:kern w:val="0"/>
          <w:sz w:val="21"/>
          <w:szCs w:val="21"/>
          <w:lang w:bidi="ar"/>
        </w:rPr>
        <w:t>；</w:t>
      </w:r>
    </w:p>
    <w:p w14:paraId="71173869">
      <w:pPr>
        <w:spacing w:line="240" w:lineRule="auto"/>
        <w:rPr>
          <w:rFonts w:ascii="Times New Roman" w:hAnsi="Times New Roman" w:eastAsia="微软雅黑" w:cs="Times New Roman"/>
          <w:color w:val="000000"/>
          <w:kern w:val="0"/>
          <w:sz w:val="21"/>
          <w:szCs w:val="21"/>
          <w:lang w:bidi="ar"/>
        </w:rPr>
      </w:pPr>
      <w:r>
        <w:rPr>
          <w:rFonts w:hint="eastAsia" w:ascii="Times New Roman" w:hAnsi="Times New Roman" w:eastAsia="微软雅黑" w:cs="Times New Roman"/>
          <w:color w:val="000000"/>
          <w:kern w:val="0"/>
          <w:sz w:val="21"/>
          <w:szCs w:val="21"/>
          <w:lang w:val="en-US" w:eastAsia="zh-CN" w:bidi="ar"/>
        </w:rPr>
        <w:t xml:space="preserve">b. </w:t>
      </w:r>
      <w:r>
        <w:rPr>
          <w:rFonts w:ascii="Times New Roman" w:hAnsi="Times New Roman" w:eastAsia="微软雅黑" w:cs="Times New Roman"/>
          <w:color w:val="000000"/>
          <w:kern w:val="0"/>
          <w:sz w:val="21"/>
          <w:szCs w:val="21"/>
          <w:lang w:bidi="ar"/>
        </w:rPr>
        <w:t>置于</w:t>
      </w:r>
      <w:r>
        <w:rPr>
          <w:rFonts w:hint="eastAsia" w:ascii="Times New Roman" w:hAnsi="Times New Roman" w:eastAsia="微软雅黑" w:cs="Times New Roman"/>
          <w:color w:val="000000"/>
          <w:kern w:val="0"/>
          <w:sz w:val="21"/>
          <w:szCs w:val="21"/>
          <w:lang w:val="en-US" w:eastAsia="zh-CN" w:bidi="ar"/>
        </w:rPr>
        <w:t>恒温</w:t>
      </w:r>
      <w:r>
        <w:rPr>
          <w:rFonts w:ascii="Times New Roman" w:hAnsi="Times New Roman" w:eastAsia="微软雅黑" w:cs="Times New Roman"/>
          <w:color w:val="000000"/>
          <w:kern w:val="0"/>
          <w:sz w:val="21"/>
          <w:szCs w:val="21"/>
          <w:lang w:bidi="ar"/>
        </w:rPr>
        <w:t xml:space="preserve">混匀仪上，37 ℃ </w:t>
      </w:r>
      <w:r>
        <w:rPr>
          <w:rFonts w:hint="eastAsia" w:ascii="Times New Roman" w:hAnsi="Times New Roman" w:eastAsia="微软雅黑" w:cs="Times New Roman"/>
          <w:color w:val="000000"/>
          <w:kern w:val="0"/>
          <w:sz w:val="21"/>
          <w:szCs w:val="21"/>
          <w:lang w:val="en-US" w:eastAsia="zh-CN" w:bidi="ar"/>
        </w:rPr>
        <w:t>震荡</w:t>
      </w:r>
      <w:r>
        <w:rPr>
          <w:rFonts w:ascii="Times New Roman" w:hAnsi="Times New Roman" w:eastAsia="微软雅黑" w:cs="Times New Roman"/>
          <w:color w:val="000000"/>
          <w:kern w:val="0"/>
          <w:sz w:val="21"/>
          <w:szCs w:val="21"/>
          <w:lang w:bidi="ar"/>
        </w:rPr>
        <w:t>孵育</w:t>
      </w:r>
      <w:r>
        <w:rPr>
          <w:rFonts w:hint="eastAsia" w:ascii="Times New Roman" w:hAnsi="Times New Roman" w:eastAsia="微软雅黑" w:cs="Times New Roman"/>
          <w:color w:val="000000"/>
          <w:kern w:val="0"/>
          <w:sz w:val="21"/>
          <w:szCs w:val="21"/>
          <w:lang w:val="en-US" w:eastAsia="zh-CN" w:bidi="ar"/>
        </w:rPr>
        <w:t>60min（1000 rpm）</w:t>
      </w:r>
      <w:r>
        <w:rPr>
          <w:rFonts w:ascii="Times New Roman" w:hAnsi="Times New Roman" w:eastAsia="微软雅黑" w:cs="Times New Roman"/>
          <w:color w:val="000000"/>
          <w:kern w:val="0"/>
          <w:sz w:val="21"/>
          <w:szCs w:val="21"/>
          <w:lang w:bidi="ar"/>
        </w:rPr>
        <w:t>；</w:t>
      </w:r>
    </w:p>
    <w:p w14:paraId="2DD7EE1B">
      <w:pPr>
        <w:spacing w:line="240" w:lineRule="auto"/>
        <w:rPr>
          <w:rFonts w:ascii="Times New Roman" w:hAnsi="Times New Roman" w:eastAsia="微软雅黑" w:cs="Times New Roman"/>
          <w:color w:val="FF0000"/>
          <w:kern w:val="0"/>
          <w:sz w:val="21"/>
          <w:szCs w:val="21"/>
          <w:lang w:bidi="ar"/>
        </w:rPr>
      </w:pPr>
      <w:bookmarkStart w:id="0" w:name="OLE_LINK4"/>
      <w:r>
        <w:rPr>
          <w:rFonts w:hint="eastAsia" w:ascii="Times New Roman" w:hAnsi="Times New Roman" w:eastAsia="微软雅黑" w:cs="Times New Roman"/>
          <w:color w:val="000000"/>
          <w:kern w:val="0"/>
          <w:sz w:val="21"/>
          <w:szCs w:val="21"/>
          <w:lang w:val="en-US" w:eastAsia="zh-CN" w:bidi="ar"/>
        </w:rPr>
        <w:t>c</w:t>
      </w:r>
      <w:r>
        <w:rPr>
          <w:rFonts w:hint="eastAsia" w:ascii="Times New Roman" w:hAnsi="Times New Roman" w:eastAsia="微软雅黑" w:cs="Times New Roman"/>
          <w:color w:val="000000"/>
          <w:kern w:val="0"/>
          <w:sz w:val="21"/>
          <w:szCs w:val="21"/>
          <w:lang w:bidi="ar"/>
        </w:rPr>
        <w:t>.</w:t>
      </w:r>
      <w:bookmarkEnd w:id="0"/>
      <w:r>
        <w:rPr>
          <w:rFonts w:hint="eastAsia" w:ascii="Times New Roman" w:hAnsi="Times New Roman" w:eastAsia="微软雅黑" w:cs="Times New Roman"/>
          <w:color w:val="000000"/>
          <w:kern w:val="0"/>
          <w:sz w:val="21"/>
          <w:szCs w:val="21"/>
          <w:lang w:val="en-US" w:eastAsia="zh-CN" w:bidi="ar"/>
        </w:rPr>
        <w:t xml:space="preserve"> 孵育结束后，样本瞬时离心，然后</w:t>
      </w:r>
      <w:r>
        <w:rPr>
          <w:rFonts w:hint="eastAsia" w:ascii="Times New Roman" w:hAnsi="Times New Roman" w:eastAsia="微软雅黑" w:cs="Times New Roman"/>
          <w:color w:val="000000"/>
          <w:kern w:val="0"/>
          <w:sz w:val="21"/>
          <w:szCs w:val="21"/>
          <w:lang w:bidi="ar"/>
        </w:rPr>
        <w:t>置于磁力架上静置2min，</w:t>
      </w:r>
      <w:r>
        <w:rPr>
          <w:rFonts w:ascii="Times New Roman" w:hAnsi="Times New Roman" w:eastAsia="微软雅黑" w:cs="Times New Roman"/>
          <w:color w:val="000000"/>
          <w:kern w:val="0"/>
          <w:sz w:val="21"/>
          <w:szCs w:val="21"/>
          <w:lang w:bidi="ar"/>
        </w:rPr>
        <w:t>磁分离弃掉上清，加入 300 μL试剂</w:t>
      </w:r>
      <w:r>
        <w:rPr>
          <w:rFonts w:hint="eastAsia" w:ascii="Times New Roman" w:hAnsi="Times New Roman" w:eastAsia="微软雅黑" w:cs="Times New Roman"/>
          <w:color w:val="000000"/>
          <w:kern w:val="0"/>
          <w:sz w:val="21"/>
          <w:szCs w:val="21"/>
          <w:lang w:val="en-US" w:eastAsia="zh-CN" w:bidi="ar"/>
        </w:rPr>
        <w:t>G</w:t>
      </w:r>
      <w:r>
        <w:rPr>
          <w:rFonts w:ascii="Times New Roman" w:hAnsi="Times New Roman" w:eastAsia="微软雅黑" w:cs="Times New Roman"/>
          <w:color w:val="000000"/>
          <w:kern w:val="0"/>
          <w:sz w:val="21"/>
          <w:szCs w:val="21"/>
          <w:lang w:bidi="ar"/>
        </w:rPr>
        <w:t>，震荡清洗</w:t>
      </w:r>
      <w:r>
        <w:rPr>
          <w:rFonts w:hint="eastAsia" w:ascii="Times New Roman" w:hAnsi="Times New Roman" w:eastAsia="微软雅黑" w:cs="Times New Roman"/>
          <w:color w:val="000000"/>
          <w:kern w:val="0"/>
          <w:sz w:val="21"/>
          <w:szCs w:val="21"/>
          <w:lang w:val="en-US" w:eastAsia="zh-CN" w:bidi="ar"/>
        </w:rPr>
        <w:t>5min</w:t>
      </w:r>
      <w:r>
        <w:rPr>
          <w:rFonts w:ascii="Times New Roman" w:hAnsi="Times New Roman" w:eastAsia="微软雅黑" w:cs="Times New Roman"/>
          <w:color w:val="000000"/>
          <w:kern w:val="0"/>
          <w:sz w:val="21"/>
          <w:szCs w:val="21"/>
          <w:lang w:bidi="ar"/>
        </w:rPr>
        <w:t>，重复清洗三次，</w:t>
      </w:r>
      <w:r>
        <w:rPr>
          <w:rFonts w:hint="eastAsia" w:ascii="Times New Roman" w:hAnsi="Times New Roman" w:eastAsia="微软雅黑" w:cs="Times New Roman"/>
          <w:color w:val="000000"/>
          <w:kern w:val="0"/>
          <w:sz w:val="21"/>
          <w:szCs w:val="21"/>
          <w:lang w:val="en-US" w:eastAsia="zh-CN" w:bidi="ar"/>
        </w:rPr>
        <w:t>磁珠</w:t>
      </w:r>
      <w:r>
        <w:rPr>
          <w:rFonts w:ascii="Times New Roman" w:hAnsi="Times New Roman" w:eastAsia="微软雅黑" w:cs="Times New Roman"/>
          <w:color w:val="000000"/>
          <w:kern w:val="0"/>
          <w:sz w:val="21"/>
          <w:szCs w:val="21"/>
          <w:lang w:bidi="ar"/>
        </w:rPr>
        <w:t>上即为富集到的</w:t>
      </w:r>
      <w:r>
        <w:rPr>
          <w:rFonts w:hint="eastAsia" w:ascii="Times New Roman" w:hAnsi="Times New Roman" w:eastAsia="微软雅黑" w:cs="Times New Roman"/>
          <w:color w:val="000000"/>
          <w:kern w:val="0"/>
          <w:sz w:val="21"/>
          <w:szCs w:val="21"/>
          <w:lang w:val="en-US" w:eastAsia="zh-CN" w:bidi="ar"/>
        </w:rPr>
        <w:t>低丰度</w:t>
      </w:r>
      <w:r>
        <w:rPr>
          <w:rFonts w:ascii="Times New Roman" w:hAnsi="Times New Roman" w:eastAsia="微软雅黑" w:cs="Times New Roman"/>
          <w:color w:val="000000"/>
          <w:kern w:val="0"/>
          <w:sz w:val="21"/>
          <w:szCs w:val="21"/>
          <w:lang w:bidi="ar"/>
        </w:rPr>
        <w:t>蛋白。</w:t>
      </w:r>
      <w:r>
        <w:rPr>
          <w:rFonts w:hint="eastAsia" w:ascii="Times New Roman" w:hAnsi="Times New Roman" w:eastAsia="微软雅黑" w:cs="Times New Roman"/>
          <w:color w:val="FF0000"/>
          <w:kern w:val="0"/>
          <w:sz w:val="21"/>
          <w:szCs w:val="21"/>
          <w:lang w:bidi="ar"/>
        </w:rPr>
        <w:t>（此步骤为关键步骤，建议每次清洗置于恒温混匀仪上1</w:t>
      </w:r>
      <w:r>
        <w:rPr>
          <w:rFonts w:hint="eastAsia" w:ascii="Times New Roman" w:hAnsi="Times New Roman" w:eastAsia="微软雅黑" w:cs="Times New Roman"/>
          <w:color w:val="FF0000"/>
          <w:kern w:val="0"/>
          <w:sz w:val="21"/>
          <w:szCs w:val="21"/>
          <w:lang w:val="en-US" w:eastAsia="zh-CN" w:bidi="ar"/>
        </w:rPr>
        <w:t>0</w:t>
      </w:r>
      <w:r>
        <w:rPr>
          <w:rFonts w:hint="eastAsia" w:ascii="Times New Roman" w:hAnsi="Times New Roman" w:eastAsia="微软雅黑" w:cs="Times New Roman"/>
          <w:color w:val="FF0000"/>
          <w:kern w:val="0"/>
          <w:sz w:val="21"/>
          <w:szCs w:val="21"/>
          <w:lang w:bidi="ar"/>
        </w:rPr>
        <w:t>00rpm震荡清洗5min，确保残留</w:t>
      </w:r>
      <w:r>
        <w:rPr>
          <w:rFonts w:hint="eastAsia" w:ascii="Times New Roman" w:hAnsi="Times New Roman" w:eastAsia="微软雅黑" w:cs="Times New Roman"/>
          <w:color w:val="FF0000"/>
          <w:kern w:val="0"/>
          <w:sz w:val="21"/>
          <w:szCs w:val="21"/>
          <w:lang w:val="en-US" w:eastAsia="zh-CN" w:bidi="ar"/>
        </w:rPr>
        <w:t>的</w:t>
      </w:r>
      <w:r>
        <w:rPr>
          <w:rFonts w:hint="eastAsia" w:ascii="Times New Roman" w:hAnsi="Times New Roman" w:eastAsia="微软雅黑" w:cs="Times New Roman"/>
          <w:color w:val="FF0000"/>
          <w:kern w:val="0"/>
          <w:sz w:val="21"/>
          <w:szCs w:val="21"/>
          <w:lang w:bidi="ar"/>
        </w:rPr>
        <w:t>高丰度蛋白清洗干净）</w:t>
      </w:r>
    </w:p>
    <w:p w14:paraId="74E55FED">
      <w:pPr>
        <w:spacing w:line="240" w:lineRule="auto"/>
        <w:rPr>
          <w:rFonts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4</w:t>
      </w:r>
      <w:r>
        <w:rPr>
          <w:rFonts w:ascii="Times New Roman" w:hAnsi="Times New Roman" w:eastAsia="微软雅黑" w:cs="Times New Roman"/>
          <w:b/>
          <w:bCs/>
          <w:sz w:val="21"/>
          <w:szCs w:val="21"/>
        </w:rPr>
        <w:t>.2 蛋白酶解</w:t>
      </w:r>
    </w:p>
    <w:p w14:paraId="193A4CB5">
      <w:pPr>
        <w:spacing w:line="240" w:lineRule="auto"/>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a. 步骤5.1</w:t>
      </w:r>
      <w:r>
        <w:rPr>
          <w:rFonts w:hint="eastAsia" w:ascii="Times New Roman" w:hAnsi="Times New Roman" w:eastAsia="微软雅黑" w:cs="Times New Roman"/>
          <w:color w:val="000000"/>
          <w:kern w:val="0"/>
          <w:sz w:val="21"/>
          <w:szCs w:val="21"/>
          <w:lang w:bidi="ar"/>
        </w:rPr>
        <w:t xml:space="preserve"> </w:t>
      </w:r>
      <w:r>
        <w:rPr>
          <w:rFonts w:hint="eastAsia" w:ascii="Times New Roman" w:hAnsi="Times New Roman" w:eastAsia="微软雅黑" w:cs="Times New Roman"/>
          <w:color w:val="000000"/>
          <w:kern w:val="0"/>
          <w:sz w:val="21"/>
          <w:szCs w:val="21"/>
          <w:lang w:val="en-US" w:eastAsia="zh-CN" w:bidi="ar"/>
        </w:rPr>
        <w:t>c</w:t>
      </w:r>
      <w:r>
        <w:rPr>
          <w:rFonts w:hint="eastAsia" w:ascii="Times New Roman" w:hAnsi="Times New Roman" w:eastAsia="微软雅黑" w:cs="Times New Roman"/>
          <w:color w:val="000000"/>
          <w:kern w:val="0"/>
          <w:sz w:val="21"/>
          <w:szCs w:val="21"/>
          <w:lang w:bidi="ar"/>
        </w:rPr>
        <w:t>中清洗后的</w:t>
      </w:r>
      <w:r>
        <w:rPr>
          <w:rFonts w:hint="eastAsia" w:ascii="Times New Roman" w:hAnsi="Times New Roman" w:eastAsia="微软雅黑" w:cs="Times New Roman"/>
          <w:color w:val="000000"/>
          <w:kern w:val="0"/>
          <w:sz w:val="21"/>
          <w:szCs w:val="21"/>
          <w:lang w:val="en-US" w:eastAsia="zh-CN" w:bidi="ar"/>
        </w:rPr>
        <w:t>磁珠</w:t>
      </w:r>
      <w:r>
        <w:rPr>
          <w:rFonts w:hint="eastAsia" w:ascii="Times New Roman" w:hAnsi="Times New Roman" w:eastAsia="微软雅黑" w:cs="Times New Roman"/>
          <w:color w:val="000000"/>
          <w:kern w:val="0"/>
          <w:sz w:val="21"/>
          <w:szCs w:val="21"/>
          <w:lang w:bidi="ar"/>
        </w:rPr>
        <w:t>中加入</w:t>
      </w:r>
      <w:r>
        <w:rPr>
          <w:rFonts w:hint="eastAsia" w:ascii="Times New Roman" w:hAnsi="Times New Roman" w:eastAsia="微软雅黑" w:cs="Times New Roman"/>
          <w:color w:val="000000"/>
          <w:kern w:val="0"/>
          <w:sz w:val="21"/>
          <w:szCs w:val="21"/>
          <w:lang w:val="en-US" w:eastAsia="zh-CN" w:bidi="ar"/>
        </w:rPr>
        <w:t>6</w:t>
      </w:r>
      <w:r>
        <w:rPr>
          <w:rFonts w:hint="eastAsia" w:ascii="Times New Roman" w:hAnsi="Times New Roman" w:eastAsia="微软雅黑" w:cs="Times New Roman"/>
          <w:color w:val="000000"/>
          <w:kern w:val="0"/>
          <w:sz w:val="21"/>
          <w:szCs w:val="21"/>
          <w:lang w:bidi="ar"/>
        </w:rPr>
        <w:t>0</w:t>
      </w:r>
      <w:r>
        <w:rPr>
          <w:rFonts w:hint="default" w:ascii="Times New Roman" w:hAnsi="Times New Roman" w:eastAsia="微软雅黑" w:cs="Times New Roman"/>
          <w:color w:val="000000"/>
          <w:kern w:val="0"/>
          <w:sz w:val="21"/>
          <w:szCs w:val="21"/>
          <w:lang w:bidi="ar"/>
        </w:rPr>
        <w:t>μ</w:t>
      </w:r>
      <w:r>
        <w:rPr>
          <w:rFonts w:hint="eastAsia" w:ascii="Times New Roman" w:hAnsi="Times New Roman" w:eastAsia="微软雅黑" w:cs="Times New Roman"/>
          <w:color w:val="000000"/>
          <w:kern w:val="0"/>
          <w:sz w:val="21"/>
          <w:szCs w:val="21"/>
          <w:lang w:bidi="ar"/>
        </w:rPr>
        <w:t>l试剂A，吹打混匀；</w:t>
      </w:r>
    </w:p>
    <w:p w14:paraId="34B2EB34">
      <w:pPr>
        <w:spacing w:line="240" w:lineRule="auto"/>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b. 95℃加热5min（95℃，1000rpm）；</w:t>
      </w:r>
    </w:p>
    <w:p w14:paraId="3D3372F9">
      <w:pPr>
        <w:spacing w:line="240" w:lineRule="auto"/>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c. 加热结束待样品恢复至室温后，加入</w:t>
      </w:r>
      <w:r>
        <w:rPr>
          <w:rFonts w:hint="eastAsia" w:ascii="Times New Roman" w:hAnsi="Times New Roman" w:eastAsia="微软雅黑" w:cs="Times New Roman"/>
          <w:color w:val="000000"/>
          <w:kern w:val="0"/>
          <w:sz w:val="21"/>
          <w:szCs w:val="21"/>
          <w:lang w:val="en-US" w:eastAsia="zh-CN" w:bidi="ar"/>
        </w:rPr>
        <w:t>15</w:t>
      </w:r>
      <w:r>
        <w:rPr>
          <w:rFonts w:hint="eastAsia" w:ascii="Times New Roman" w:hAnsi="Times New Roman" w:eastAsia="微软雅黑" w:cs="Times New Roman"/>
          <w:color w:val="000000"/>
          <w:kern w:val="0"/>
          <w:sz w:val="21"/>
          <w:szCs w:val="21"/>
          <w:lang w:bidi="ar"/>
        </w:rPr>
        <w:t xml:space="preserve"> </w:t>
      </w:r>
      <w:r>
        <w:rPr>
          <w:rFonts w:ascii="Times New Roman" w:hAnsi="Times New Roman" w:eastAsia="微软雅黑" w:cs="Times New Roman"/>
          <w:color w:val="000000"/>
          <w:kern w:val="0"/>
          <w:sz w:val="21"/>
          <w:szCs w:val="21"/>
          <w:lang w:bidi="ar"/>
        </w:rPr>
        <w:t>μl试剂</w:t>
      </w:r>
      <w:r>
        <w:rPr>
          <w:rFonts w:hint="eastAsia" w:ascii="Times New Roman" w:hAnsi="Times New Roman" w:eastAsia="微软雅黑" w:cs="Times New Roman"/>
          <w:color w:val="000000"/>
          <w:kern w:val="0"/>
          <w:sz w:val="21"/>
          <w:szCs w:val="21"/>
          <w:lang w:val="en-US" w:eastAsia="zh-CN" w:bidi="ar"/>
        </w:rPr>
        <w:t>B</w:t>
      </w:r>
      <w:r>
        <w:rPr>
          <w:rFonts w:ascii="Times New Roman" w:hAnsi="Times New Roman" w:eastAsia="微软雅黑" w:cs="Times New Roman"/>
          <w:color w:val="000000"/>
          <w:kern w:val="0"/>
          <w:sz w:val="21"/>
          <w:szCs w:val="21"/>
          <w:lang w:bidi="ar"/>
        </w:rPr>
        <w:t>，混匀，37℃酶解</w:t>
      </w:r>
      <w:r>
        <w:rPr>
          <w:rFonts w:hint="eastAsia" w:ascii="Times New Roman" w:hAnsi="Times New Roman" w:eastAsia="微软雅黑" w:cs="Times New Roman"/>
          <w:color w:val="000000"/>
          <w:kern w:val="0"/>
          <w:sz w:val="21"/>
          <w:szCs w:val="21"/>
          <w:lang w:bidi="ar"/>
        </w:rPr>
        <w:t>2h</w:t>
      </w:r>
      <w:r>
        <w:rPr>
          <w:rFonts w:ascii="Times New Roman" w:hAnsi="Times New Roman" w:eastAsia="微软雅黑" w:cs="Times New Roman"/>
          <w:color w:val="000000"/>
          <w:kern w:val="0"/>
          <w:sz w:val="21"/>
          <w:szCs w:val="21"/>
          <w:lang w:bidi="ar"/>
        </w:rPr>
        <w:t>（</w:t>
      </w:r>
      <w:r>
        <w:rPr>
          <w:rFonts w:hint="eastAsia" w:ascii="Times New Roman" w:hAnsi="Times New Roman" w:eastAsia="微软雅黑" w:cs="Times New Roman"/>
          <w:color w:val="000000"/>
          <w:kern w:val="0"/>
          <w:sz w:val="21"/>
          <w:szCs w:val="21"/>
          <w:lang w:val="en-US" w:eastAsia="zh-CN" w:bidi="ar"/>
        </w:rPr>
        <w:t>37</w:t>
      </w:r>
      <w:r>
        <w:rPr>
          <w:rFonts w:ascii="Times New Roman" w:hAnsi="Times New Roman" w:eastAsia="微软雅黑" w:cs="Times New Roman"/>
          <w:color w:val="000000"/>
          <w:kern w:val="0"/>
          <w:sz w:val="21"/>
          <w:szCs w:val="21"/>
          <w:lang w:bidi="ar"/>
        </w:rPr>
        <w:t>℃，1000rpm）；</w:t>
      </w:r>
    </w:p>
    <w:p w14:paraId="6FE4E106">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color w:val="000000"/>
          <w:kern w:val="0"/>
          <w:sz w:val="21"/>
          <w:szCs w:val="21"/>
          <w:lang w:bidi="ar"/>
        </w:rPr>
        <w:t>d. 酶解结束后加入</w:t>
      </w:r>
      <w:r>
        <w:rPr>
          <w:rFonts w:hint="eastAsia" w:ascii="Times New Roman" w:hAnsi="Times New Roman" w:eastAsia="微软雅黑" w:cs="Times New Roman"/>
          <w:color w:val="000000"/>
          <w:kern w:val="0"/>
          <w:sz w:val="21"/>
          <w:szCs w:val="21"/>
          <w:lang w:val="en-US" w:eastAsia="zh-CN" w:bidi="ar"/>
        </w:rPr>
        <w:t>75</w:t>
      </w:r>
      <w:r>
        <w:rPr>
          <w:rFonts w:hint="eastAsia" w:ascii="Times New Roman" w:hAnsi="Times New Roman" w:eastAsia="微软雅黑" w:cs="Times New Roman"/>
          <w:color w:val="000000"/>
          <w:kern w:val="0"/>
          <w:sz w:val="21"/>
          <w:szCs w:val="21"/>
          <w:lang w:bidi="ar"/>
        </w:rPr>
        <w:t xml:space="preserve"> </w:t>
      </w:r>
      <w:r>
        <w:rPr>
          <w:rFonts w:ascii="Times New Roman" w:hAnsi="Times New Roman" w:eastAsia="微软雅黑" w:cs="Times New Roman"/>
          <w:color w:val="000000"/>
          <w:kern w:val="0"/>
          <w:sz w:val="21"/>
          <w:szCs w:val="21"/>
          <w:lang w:bidi="ar"/>
        </w:rPr>
        <w:t>μl试剂</w:t>
      </w:r>
      <w:r>
        <w:rPr>
          <w:rFonts w:hint="eastAsia" w:ascii="Times New Roman" w:hAnsi="Times New Roman" w:eastAsia="微软雅黑" w:cs="Times New Roman"/>
          <w:color w:val="000000"/>
          <w:kern w:val="0"/>
          <w:sz w:val="21"/>
          <w:szCs w:val="21"/>
          <w:lang w:val="en-US" w:eastAsia="zh-CN" w:bidi="ar"/>
        </w:rPr>
        <w:t>C</w:t>
      </w:r>
      <w:r>
        <w:rPr>
          <w:rFonts w:ascii="Times New Roman" w:hAnsi="Times New Roman" w:eastAsia="微软雅黑" w:cs="Times New Roman"/>
          <w:color w:val="000000"/>
          <w:kern w:val="0"/>
          <w:sz w:val="21"/>
          <w:szCs w:val="21"/>
          <w:lang w:bidi="ar"/>
        </w:rPr>
        <w:t>，混匀，终止酶解反应，此时会有沉淀出现，20000g离心1min</w:t>
      </w:r>
      <w:r>
        <w:rPr>
          <w:rFonts w:hint="eastAsia" w:ascii="Times New Roman" w:hAnsi="Times New Roman" w:eastAsia="微软雅黑" w:cs="Times New Roman"/>
          <w:color w:val="000000"/>
          <w:kern w:val="0"/>
          <w:sz w:val="21"/>
          <w:szCs w:val="21"/>
          <w:lang w:bidi="ar"/>
        </w:rPr>
        <w:t>后</w:t>
      </w:r>
      <w:r>
        <w:rPr>
          <w:rFonts w:ascii="Times New Roman" w:hAnsi="Times New Roman" w:eastAsia="微软雅黑" w:cs="Times New Roman"/>
          <w:color w:val="000000"/>
          <w:kern w:val="0"/>
          <w:sz w:val="21"/>
          <w:szCs w:val="21"/>
          <w:lang w:bidi="ar"/>
        </w:rPr>
        <w:t>吸取上清待后续</w:t>
      </w:r>
      <w:r>
        <w:rPr>
          <w:rFonts w:hint="eastAsia" w:ascii="Times New Roman" w:hAnsi="Times New Roman" w:eastAsia="微软雅黑" w:cs="Times New Roman"/>
          <w:color w:val="000000"/>
          <w:kern w:val="0"/>
          <w:sz w:val="21"/>
          <w:szCs w:val="21"/>
          <w:lang w:bidi="ar"/>
        </w:rPr>
        <w:t>脱</w:t>
      </w:r>
      <w:r>
        <w:rPr>
          <w:rFonts w:ascii="Times New Roman" w:hAnsi="Times New Roman" w:eastAsia="微软雅黑" w:cs="Times New Roman"/>
          <w:color w:val="000000"/>
          <w:kern w:val="0"/>
          <w:sz w:val="21"/>
          <w:szCs w:val="21"/>
          <w:lang w:bidi="ar"/>
        </w:rPr>
        <w:t>盐。</w:t>
      </w:r>
    </w:p>
    <w:p w14:paraId="021964BE">
      <w:pPr>
        <w:spacing w:line="240" w:lineRule="auto"/>
        <w:rPr>
          <w:rFonts w:hint="default"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4</w:t>
      </w:r>
      <w:r>
        <w:rPr>
          <w:rFonts w:hint="default" w:ascii="Times New Roman" w:hAnsi="Times New Roman" w:eastAsia="微软雅黑" w:cs="Times New Roman"/>
          <w:b/>
          <w:bCs/>
          <w:sz w:val="21"/>
          <w:szCs w:val="21"/>
        </w:rPr>
        <w:t>.3 肽段脱盐</w:t>
      </w:r>
    </w:p>
    <w:p w14:paraId="076A5EC4">
      <w:pPr>
        <w:keepNext w:val="0"/>
        <w:keepLines w:val="0"/>
        <w:pageBreakBefore w:val="0"/>
        <w:widowControl/>
        <w:numPr>
          <w:ilvl w:val="0"/>
          <w:numId w:val="2"/>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将Cartridge插入Adaptor上置于Waste板中；</w:t>
      </w:r>
    </w:p>
    <w:p w14:paraId="464636F9">
      <w:pPr>
        <w:keepNext w:val="0"/>
        <w:keepLines w:val="0"/>
        <w:pageBreakBefore w:val="0"/>
        <w:widowControl/>
        <w:numPr>
          <w:ilvl w:val="0"/>
          <w:numId w:val="2"/>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加载样本</w:t>
      </w:r>
      <w:r>
        <w:rPr>
          <w:rFonts w:hint="default" w:ascii="Times New Roman" w:hAnsi="Times New Roman" w:eastAsia="微软雅黑" w:cs="Times New Roman"/>
          <w:color w:val="000000"/>
          <w:kern w:val="0"/>
          <w:sz w:val="21"/>
          <w:szCs w:val="21"/>
          <w:lang w:val="en-US" w:eastAsia="zh-CN" w:bidi="ar"/>
        </w:rPr>
        <w:t>：将样本全部加载到脱盐柱中，700g离心1min，重复操作一次；</w:t>
      </w:r>
    </w:p>
    <w:p w14:paraId="0E65BF17">
      <w:pPr>
        <w:keepNext w:val="0"/>
        <w:keepLines w:val="0"/>
        <w:pageBreakBefore w:val="0"/>
        <w:widowControl/>
        <w:numPr>
          <w:ilvl w:val="0"/>
          <w:numId w:val="2"/>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Cartridge（脱盐柱）</w:t>
      </w:r>
      <w:r>
        <w:rPr>
          <w:rFonts w:hint="eastAsia" w:ascii="Times New Roman" w:hAnsi="Times New Roman" w:eastAsia="微软雅黑" w:cs="Times New Roman"/>
          <w:color w:val="000000"/>
          <w:kern w:val="0"/>
          <w:sz w:val="21"/>
          <w:szCs w:val="21"/>
          <w:lang w:val="en-US" w:eastAsia="zh-CN" w:bidi="ar"/>
        </w:rPr>
        <w:t>清洗1</w:t>
      </w:r>
      <w:r>
        <w:rPr>
          <w:rFonts w:hint="default" w:ascii="Times New Roman" w:hAnsi="Times New Roman" w:eastAsia="微软雅黑" w:cs="Times New Roman"/>
          <w:color w:val="000000"/>
          <w:kern w:val="0"/>
          <w:sz w:val="21"/>
          <w:szCs w:val="21"/>
          <w:lang w:val="en-US" w:eastAsia="zh-CN" w:bidi="ar"/>
        </w:rPr>
        <w:t xml:space="preserve">：100μl </w:t>
      </w:r>
      <w:r>
        <w:rPr>
          <w:rFonts w:hint="eastAsia" w:ascii="Times New Roman" w:hAnsi="Times New Roman" w:eastAsia="微软雅黑" w:cs="Times New Roman"/>
          <w:color w:val="000000"/>
          <w:kern w:val="0"/>
          <w:sz w:val="21"/>
          <w:szCs w:val="21"/>
          <w:lang w:val="en-US" w:eastAsia="zh-CN" w:bidi="ar"/>
        </w:rPr>
        <w:t>试剂D</w:t>
      </w:r>
      <w:r>
        <w:rPr>
          <w:rFonts w:hint="default" w:ascii="Times New Roman" w:hAnsi="Times New Roman" w:eastAsia="微软雅黑" w:cs="Times New Roman"/>
          <w:color w:val="000000"/>
          <w:kern w:val="0"/>
          <w:sz w:val="21"/>
          <w:szCs w:val="21"/>
          <w:lang w:val="en-US" w:eastAsia="zh-CN" w:bidi="ar"/>
        </w:rPr>
        <w:t>加入到脱盐柱中，700g离心1min；</w:t>
      </w:r>
      <w:r>
        <w:rPr>
          <w:rFonts w:hint="eastAsia" w:ascii="Times New Roman" w:hAnsi="Times New Roman" w:eastAsia="微软雅黑" w:cs="Times New Roman"/>
          <w:color w:val="000000"/>
          <w:kern w:val="0"/>
          <w:sz w:val="21"/>
          <w:szCs w:val="21"/>
          <w:lang w:val="en-US" w:eastAsia="zh-CN" w:bidi="ar"/>
        </w:rPr>
        <w:t>重复操作一次；</w:t>
      </w:r>
    </w:p>
    <w:p w14:paraId="2547180B">
      <w:pPr>
        <w:keepNext w:val="0"/>
        <w:keepLines w:val="0"/>
        <w:pageBreakBefore w:val="0"/>
        <w:widowControl/>
        <w:numPr>
          <w:ilvl w:val="0"/>
          <w:numId w:val="2"/>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Cartridge（脱盐柱）</w:t>
      </w:r>
      <w:r>
        <w:rPr>
          <w:rFonts w:hint="eastAsia" w:ascii="Times New Roman" w:hAnsi="Times New Roman" w:eastAsia="微软雅黑" w:cs="Times New Roman"/>
          <w:color w:val="000000"/>
          <w:kern w:val="0"/>
          <w:sz w:val="21"/>
          <w:szCs w:val="21"/>
          <w:lang w:val="en-US" w:eastAsia="zh-CN" w:bidi="ar"/>
        </w:rPr>
        <w:t>清洗2</w:t>
      </w:r>
      <w:r>
        <w:rPr>
          <w:rFonts w:hint="default" w:ascii="Times New Roman" w:hAnsi="Times New Roman" w:eastAsia="微软雅黑" w:cs="Times New Roman"/>
          <w:color w:val="000000"/>
          <w:kern w:val="0"/>
          <w:sz w:val="21"/>
          <w:szCs w:val="21"/>
          <w:lang w:val="en-US" w:eastAsia="zh-CN" w:bidi="ar"/>
        </w:rPr>
        <w:t xml:space="preserve">：100μl </w:t>
      </w:r>
      <w:r>
        <w:rPr>
          <w:rFonts w:hint="eastAsia" w:ascii="Times New Roman" w:hAnsi="Times New Roman" w:eastAsia="微软雅黑" w:cs="Times New Roman"/>
          <w:color w:val="000000"/>
          <w:kern w:val="0"/>
          <w:sz w:val="21"/>
          <w:szCs w:val="21"/>
          <w:lang w:val="en-US" w:eastAsia="zh-CN" w:bidi="ar"/>
        </w:rPr>
        <w:t>试剂E</w:t>
      </w:r>
      <w:r>
        <w:rPr>
          <w:rFonts w:hint="default" w:ascii="Times New Roman" w:hAnsi="Times New Roman" w:eastAsia="微软雅黑" w:cs="Times New Roman"/>
          <w:color w:val="000000"/>
          <w:kern w:val="0"/>
          <w:sz w:val="21"/>
          <w:szCs w:val="21"/>
          <w:lang w:val="en-US" w:eastAsia="zh-CN" w:bidi="ar"/>
        </w:rPr>
        <w:t>加入到脱盐柱中，700g离心1min；</w:t>
      </w:r>
      <w:r>
        <w:rPr>
          <w:rFonts w:hint="eastAsia" w:ascii="Times New Roman" w:hAnsi="Times New Roman" w:eastAsia="微软雅黑" w:cs="Times New Roman"/>
          <w:color w:val="000000"/>
          <w:kern w:val="0"/>
          <w:sz w:val="21"/>
          <w:szCs w:val="21"/>
          <w:lang w:val="en-US" w:eastAsia="zh-CN" w:bidi="ar"/>
        </w:rPr>
        <w:t>重复操作一次；</w:t>
      </w:r>
    </w:p>
    <w:p w14:paraId="494C559A">
      <w:pPr>
        <w:keepNext w:val="0"/>
        <w:keepLines w:val="0"/>
        <w:pageBreakBefore w:val="0"/>
        <w:widowControl/>
        <w:numPr>
          <w:ilvl w:val="0"/>
          <w:numId w:val="2"/>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将放有Cartridge的Adaptor转移至新的Collection板上；</w:t>
      </w:r>
    </w:p>
    <w:p w14:paraId="61069247">
      <w:pPr>
        <w:keepNext w:val="0"/>
        <w:keepLines w:val="0"/>
        <w:pageBreakBefore w:val="0"/>
        <w:widowControl/>
        <w:numPr>
          <w:ilvl w:val="0"/>
          <w:numId w:val="2"/>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样本洗脱</w:t>
      </w:r>
      <w:r>
        <w:rPr>
          <w:rFonts w:hint="eastAsia" w:ascii="Times New Roman" w:hAnsi="Times New Roman" w:eastAsia="微软雅黑" w:cs="Times New Roman"/>
          <w:color w:val="000000"/>
          <w:kern w:val="0"/>
          <w:sz w:val="21"/>
          <w:szCs w:val="21"/>
          <w:lang w:val="en-US" w:eastAsia="zh-CN" w:bidi="ar"/>
        </w:rPr>
        <w:t>：10</w:t>
      </w:r>
      <w:r>
        <w:rPr>
          <w:rFonts w:hint="default" w:ascii="Times New Roman" w:hAnsi="Times New Roman" w:eastAsia="微软雅黑" w:cs="Times New Roman"/>
          <w:color w:val="000000"/>
          <w:kern w:val="0"/>
          <w:sz w:val="21"/>
          <w:szCs w:val="21"/>
          <w:lang w:val="en-US" w:eastAsia="zh-CN" w:bidi="ar"/>
        </w:rPr>
        <w:t xml:space="preserve">0μl </w:t>
      </w:r>
      <w:r>
        <w:rPr>
          <w:rFonts w:hint="eastAsia" w:ascii="Times New Roman" w:hAnsi="Times New Roman" w:eastAsia="微软雅黑" w:cs="Times New Roman"/>
          <w:color w:val="000000"/>
          <w:kern w:val="0"/>
          <w:sz w:val="21"/>
          <w:szCs w:val="21"/>
          <w:lang w:val="en-US" w:eastAsia="zh-CN" w:bidi="ar"/>
        </w:rPr>
        <w:t>试剂F</w:t>
      </w:r>
      <w:r>
        <w:rPr>
          <w:rFonts w:hint="default" w:ascii="Times New Roman" w:hAnsi="Times New Roman" w:eastAsia="微软雅黑" w:cs="Times New Roman"/>
          <w:color w:val="000000"/>
          <w:kern w:val="0"/>
          <w:sz w:val="21"/>
          <w:szCs w:val="21"/>
          <w:lang w:val="en-US" w:eastAsia="zh-CN" w:bidi="ar"/>
        </w:rPr>
        <w:t>加入到脱盐柱中，700g离心1min，洗脱两次，最终样本体积为</w:t>
      </w:r>
      <w:r>
        <w:rPr>
          <w:rFonts w:hint="eastAsia" w:ascii="Times New Roman" w:hAnsi="Times New Roman" w:eastAsia="微软雅黑" w:cs="Times New Roman"/>
          <w:color w:val="000000"/>
          <w:kern w:val="0"/>
          <w:sz w:val="21"/>
          <w:szCs w:val="21"/>
          <w:lang w:val="en-US" w:eastAsia="zh-CN" w:bidi="ar"/>
        </w:rPr>
        <w:t>20</w:t>
      </w:r>
      <w:r>
        <w:rPr>
          <w:rFonts w:hint="default" w:ascii="Times New Roman" w:hAnsi="Times New Roman" w:eastAsia="微软雅黑" w:cs="Times New Roman"/>
          <w:color w:val="000000"/>
          <w:kern w:val="0"/>
          <w:sz w:val="21"/>
          <w:szCs w:val="21"/>
          <w:lang w:val="en-US" w:eastAsia="zh-CN" w:bidi="ar"/>
        </w:rPr>
        <w:t>0μl；</w:t>
      </w:r>
    </w:p>
    <w:p w14:paraId="4643C4D6">
      <w:pPr>
        <w:keepNext w:val="0"/>
        <w:keepLines w:val="0"/>
        <w:pageBreakBefore w:val="0"/>
        <w:widowControl/>
        <w:numPr>
          <w:ilvl w:val="0"/>
          <w:numId w:val="2"/>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真空冷冻离心浓缩仪浓缩样本。</w:t>
      </w:r>
    </w:p>
    <w:p w14:paraId="7B5FF05B">
      <w:pPr>
        <w:spacing w:line="240" w:lineRule="auto"/>
        <w:rPr>
          <w:rFonts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5</w:t>
      </w:r>
      <w:r>
        <w:rPr>
          <w:rFonts w:ascii="Times New Roman" w:hAnsi="Times New Roman" w:eastAsia="微软雅黑" w:cs="Times New Roman"/>
          <w:b/>
          <w:bCs/>
          <w:sz w:val="21"/>
          <w:szCs w:val="21"/>
        </w:rPr>
        <w:t>. 注意事项</w:t>
      </w:r>
    </w:p>
    <w:p w14:paraId="78FC93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hint="eastAsia" w:ascii="Times New Roman" w:hAnsi="Times New Roman" w:eastAsia="微软雅黑" w:cs="Times New Roman"/>
          <w:color w:val="000000"/>
          <w:kern w:val="0"/>
          <w:sz w:val="18"/>
          <w:szCs w:val="18"/>
          <w:lang w:val="en-US" w:eastAsia="zh-CN" w:bidi="ar"/>
        </w:rPr>
        <w:t>试剂A低温下会析出，建议使用前置于水浴锅中（37-50℃）放置10min，待结晶重新溶解后混合均匀使用；</w:t>
      </w:r>
    </w:p>
    <w:p w14:paraId="385E51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hint="default" w:ascii="Times New Roman" w:hAnsi="Times New Roman" w:eastAsia="微软雅黑" w:cs="Times New Roman"/>
          <w:color w:val="000000"/>
          <w:kern w:val="0"/>
          <w:sz w:val="18"/>
          <w:szCs w:val="18"/>
          <w:lang w:val="en-US" w:eastAsia="zh-CN" w:bidi="ar"/>
        </w:rPr>
        <w:t>蛋白富集过程的震荡操作一定要按说明书进行操作，如果震荡孵育的转速过低将有可能影响富集效果；</w:t>
      </w:r>
    </w:p>
    <w:p w14:paraId="1BD041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肽段脱盐过程离心速度不要超过推荐的离心速度（最大离心速度不要超过1000g），因为这可能会损坏柱子填料导致样品丢失和/或损坏仪器；</w:t>
      </w:r>
    </w:p>
    <w:p w14:paraId="1B5E40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使用低吸附离心管，最大限度的提高样本回收率；</w:t>
      </w:r>
    </w:p>
    <w:p w14:paraId="43C354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酶解结束后加入试剂</w:t>
      </w:r>
      <w:r>
        <w:rPr>
          <w:rFonts w:hint="eastAsia" w:ascii="Times New Roman" w:hAnsi="Times New Roman" w:eastAsia="微软雅黑" w:cs="Times New Roman"/>
          <w:color w:val="000000"/>
          <w:kern w:val="0"/>
          <w:sz w:val="18"/>
          <w:szCs w:val="18"/>
          <w:lang w:val="en-US" w:eastAsia="zh-CN" w:bidi="ar"/>
        </w:rPr>
        <w:t>C可能</w:t>
      </w:r>
      <w:r>
        <w:rPr>
          <w:rFonts w:ascii="Times New Roman" w:hAnsi="Times New Roman" w:eastAsia="微软雅黑" w:cs="Times New Roman"/>
          <w:color w:val="000000"/>
          <w:kern w:val="0"/>
          <w:sz w:val="18"/>
          <w:szCs w:val="18"/>
          <w:lang w:bidi="ar"/>
        </w:rPr>
        <w:t>有沉淀出现</w:t>
      </w:r>
      <w:r>
        <w:rPr>
          <w:rFonts w:hint="eastAsia" w:ascii="Times New Roman" w:hAnsi="Times New Roman" w:eastAsia="微软雅黑" w:cs="Times New Roman"/>
          <w:color w:val="000000"/>
          <w:kern w:val="0"/>
          <w:sz w:val="18"/>
          <w:szCs w:val="18"/>
          <w:lang w:eastAsia="zh-CN" w:bidi="ar"/>
        </w:rPr>
        <w:t>，</w:t>
      </w:r>
      <w:r>
        <w:rPr>
          <w:rFonts w:hint="eastAsia" w:ascii="Times New Roman" w:hAnsi="Times New Roman" w:eastAsia="微软雅黑" w:cs="Times New Roman"/>
          <w:color w:val="000000"/>
          <w:kern w:val="0"/>
          <w:sz w:val="18"/>
          <w:szCs w:val="18"/>
          <w:lang w:val="en-US" w:eastAsia="zh-CN" w:bidi="ar"/>
        </w:rPr>
        <w:t>可</w:t>
      </w:r>
      <w:r>
        <w:rPr>
          <w:rFonts w:ascii="Times New Roman" w:hAnsi="Times New Roman" w:eastAsia="微软雅黑" w:cs="Times New Roman"/>
          <w:color w:val="000000"/>
          <w:kern w:val="0"/>
          <w:sz w:val="18"/>
          <w:szCs w:val="18"/>
          <w:lang w:bidi="ar"/>
        </w:rPr>
        <w:t>高速离心后</w:t>
      </w:r>
      <w:r>
        <w:rPr>
          <w:rFonts w:hint="eastAsia" w:ascii="Times New Roman" w:hAnsi="Times New Roman" w:eastAsia="微软雅黑" w:cs="Times New Roman"/>
          <w:color w:val="000000"/>
          <w:kern w:val="0"/>
          <w:sz w:val="18"/>
          <w:szCs w:val="18"/>
          <w:lang w:val="en-US" w:eastAsia="zh-CN" w:bidi="ar"/>
        </w:rPr>
        <w:t>再</w:t>
      </w:r>
      <w:r>
        <w:rPr>
          <w:rFonts w:ascii="Times New Roman" w:hAnsi="Times New Roman" w:eastAsia="微软雅黑" w:cs="Times New Roman"/>
          <w:color w:val="000000"/>
          <w:kern w:val="0"/>
          <w:sz w:val="18"/>
          <w:szCs w:val="18"/>
          <w:lang w:bidi="ar"/>
        </w:rPr>
        <w:t>进行后续实验；</w:t>
      </w:r>
    </w:p>
    <w:p w14:paraId="75EF1E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样本比较难消化酶解时可适当加长酶解时间；</w:t>
      </w:r>
    </w:p>
    <w:p w14:paraId="7751EC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酶解后样本如</w:t>
      </w:r>
      <w:r>
        <w:rPr>
          <w:rFonts w:hint="eastAsia" w:ascii="Times New Roman" w:hAnsi="Times New Roman" w:eastAsia="微软雅黑" w:cs="Times New Roman"/>
          <w:color w:val="000000"/>
          <w:kern w:val="0"/>
          <w:sz w:val="18"/>
          <w:szCs w:val="18"/>
          <w:lang w:bidi="ar"/>
        </w:rPr>
        <w:t>不能及时进行</w:t>
      </w:r>
      <w:r>
        <w:rPr>
          <w:rFonts w:ascii="Times New Roman" w:hAnsi="Times New Roman" w:eastAsia="微软雅黑" w:cs="Times New Roman"/>
          <w:color w:val="000000"/>
          <w:kern w:val="0"/>
          <w:sz w:val="18"/>
          <w:szCs w:val="18"/>
          <w:lang w:bidi="ar"/>
        </w:rPr>
        <w:t>后续脱盐处理，可-80℃存放2周；</w:t>
      </w:r>
    </w:p>
    <w:p w14:paraId="7A3AEE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hanging="420"/>
        <w:jc w:val="left"/>
        <w:textAlignment w:val="auto"/>
        <w:rPr>
          <w:rFonts w:hint="default"/>
          <w:sz w:val="18"/>
          <w:szCs w:val="18"/>
          <w:lang w:val="en-US" w:eastAsia="zh-CN"/>
        </w:rPr>
      </w:pPr>
      <w:r>
        <w:rPr>
          <w:rFonts w:ascii="Times New Roman" w:hAnsi="Times New Roman" w:eastAsia="微软雅黑" w:cs="Times New Roman"/>
          <w:color w:val="000000"/>
          <w:kern w:val="0"/>
          <w:sz w:val="18"/>
          <w:szCs w:val="18"/>
          <w:lang w:bidi="ar"/>
        </w:rPr>
        <w:t>避免样品污染及皮肤直接接触试剂，实验时戴好手套、口罩。</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071"/>
        <w:gridCol w:w="2451"/>
      </w:tblGrid>
      <w:tr w14:paraId="2405A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6071" w:type="dxa"/>
          </w:tcPr>
          <w:p w14:paraId="54270ACC">
            <w:pPr>
              <w:keepNext w:val="0"/>
              <w:keepLines w:val="0"/>
              <w:pageBreakBefore w:val="0"/>
              <w:widowControl/>
              <w:numPr>
                <w:ilvl w:val="0"/>
                <w:numId w:val="0"/>
              </w:numPr>
              <w:kinsoku/>
              <w:wordWrap/>
              <w:overflowPunct/>
              <w:topLinePunct w:val="0"/>
              <w:autoSpaceDE/>
              <w:autoSpaceDN/>
              <w:bidi w:val="0"/>
              <w:adjustRightInd/>
              <w:snapToGrid/>
              <w:spacing w:line="360" w:lineRule="auto"/>
              <w:jc w:val="right"/>
              <w:textAlignment w:val="auto"/>
              <w:rPr>
                <w:rFonts w:hint="default"/>
                <w:sz w:val="18"/>
                <w:szCs w:val="18"/>
                <w:vertAlign w:val="baseline"/>
                <w:lang w:val="en-US" w:eastAsia="zh-CN"/>
              </w:rPr>
            </w:pPr>
            <w:r>
              <w:rPr>
                <w:rFonts w:hint="default"/>
                <w:sz w:val="18"/>
                <w:szCs w:val="18"/>
                <w:vertAlign w:val="baseline"/>
                <w:lang w:val="en-US" w:eastAsia="zh-CN"/>
              </w:rPr>
              <w:drawing>
                <wp:inline distT="0" distB="0" distL="114300" distR="114300">
                  <wp:extent cx="666115" cy="666115"/>
                  <wp:effectExtent l="0" t="0" r="6985" b="6985"/>
                  <wp:docPr id="2" name="图片 2" desc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ode"/>
                          <pic:cNvPicPr>
                            <a:picLocks noChangeAspect="1"/>
                          </pic:cNvPicPr>
                        </pic:nvPicPr>
                        <pic:blipFill>
                          <a:blip r:embed="rId15"/>
                          <a:stretch>
                            <a:fillRect/>
                          </a:stretch>
                        </pic:blipFill>
                        <pic:spPr>
                          <a:xfrm>
                            <a:off x="0" y="0"/>
                            <a:ext cx="666115" cy="666115"/>
                          </a:xfrm>
                          <a:prstGeom prst="rect">
                            <a:avLst/>
                          </a:prstGeom>
                        </pic:spPr>
                      </pic:pic>
                    </a:graphicData>
                  </a:graphic>
                </wp:inline>
              </w:drawing>
            </w:r>
          </w:p>
        </w:tc>
        <w:tc>
          <w:tcPr>
            <w:tcW w:w="2451" w:type="dxa"/>
            <w:vAlign w:val="center"/>
          </w:tcPr>
          <w:p w14:paraId="0D1A717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官方网站：</w:t>
            </w:r>
            <w:r>
              <w:rPr>
                <w:rStyle w:val="8"/>
                <w:rFonts w:hint="default" w:ascii="Times New Roman" w:hAnsi="Times New Roman" w:eastAsia="微软雅黑" w:cs="Times New Roman"/>
                <w:kern w:val="0"/>
                <w:sz w:val="15"/>
                <w:szCs w:val="15"/>
                <w:lang w:val="en-US" w:eastAsia="zh-CN" w:bidi="ar"/>
              </w:rPr>
              <w:t>www.omicsolution.com</w:t>
            </w:r>
          </w:p>
          <w:p w14:paraId="25FDF5A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若有任何疑问，欢迎</w:t>
            </w:r>
            <w:r>
              <w:rPr>
                <w:rFonts w:hint="eastAsia" w:ascii="Times New Roman" w:hAnsi="Times New Roman" w:eastAsia="微软雅黑" w:cs="Times New Roman"/>
                <w:color w:val="415163"/>
                <w:sz w:val="15"/>
                <w:szCs w:val="15"/>
                <w:lang w:val="en-US" w:eastAsia="zh-CN"/>
              </w:rPr>
              <w:t>发送</w:t>
            </w:r>
            <w:r>
              <w:rPr>
                <w:rFonts w:hint="default" w:ascii="Times New Roman" w:hAnsi="Times New Roman" w:eastAsia="微软雅黑" w:cs="Times New Roman"/>
                <w:color w:val="415163"/>
                <w:sz w:val="15"/>
                <w:szCs w:val="15"/>
              </w:rPr>
              <w:t>邮件</w:t>
            </w:r>
            <w:r>
              <w:rPr>
                <w:rFonts w:hint="eastAsia" w:ascii="Times New Roman" w:hAnsi="Times New Roman" w:eastAsia="微软雅黑" w:cs="Times New Roman"/>
                <w:color w:val="415163"/>
                <w:sz w:val="15"/>
                <w:szCs w:val="15"/>
                <w:lang w:val="en-US" w:eastAsia="zh-CN"/>
              </w:rPr>
              <w:t>至</w:t>
            </w:r>
            <w:r>
              <w:rPr>
                <w:rFonts w:hint="default" w:ascii="Times New Roman" w:hAnsi="Times New Roman" w:eastAsia="微软雅黑" w:cs="Times New Roman"/>
                <w:color w:val="415163"/>
                <w:sz w:val="15"/>
                <w:szCs w:val="15"/>
              </w:rPr>
              <w:t>：</w:t>
            </w:r>
          </w:p>
          <w:p w14:paraId="1752628A">
            <w:pPr>
              <w:keepNext w:val="0"/>
              <w:keepLines w:val="0"/>
              <w:widowControl/>
              <w:suppressLineNumbers w:val="0"/>
              <w:spacing w:line="240" w:lineRule="auto"/>
              <w:jc w:val="left"/>
              <w:rPr>
                <w:rFonts w:hint="default" w:ascii="Times New Roman" w:hAnsi="Times New Roman" w:eastAsia="微软雅黑" w:cs="Times New Roman"/>
                <w:sz w:val="15"/>
                <w:szCs w:val="15"/>
                <w:vertAlign w:val="baseline"/>
                <w:lang w:val="en-US" w:eastAsia="zh-CN"/>
              </w:rPr>
            </w:pPr>
            <w:r>
              <w:rPr>
                <w:rStyle w:val="8"/>
                <w:rFonts w:hint="default" w:ascii="Times New Roman" w:hAnsi="Times New Roman" w:eastAsia="微软雅黑" w:cs="Times New Roman"/>
                <w:kern w:val="0"/>
                <w:sz w:val="15"/>
                <w:szCs w:val="15"/>
                <w:lang w:val="en-US" w:eastAsia="zh-CN" w:bidi="ar"/>
              </w:rPr>
              <w:t>support@omicsolution.com</w:t>
            </w:r>
          </w:p>
        </w:tc>
      </w:tr>
    </w:tbl>
    <w:p w14:paraId="501E7972">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jc w:val="left"/>
        <w:textAlignment w:val="auto"/>
        <w:rPr>
          <w:rFonts w:hint="default"/>
          <w:sz w:val="18"/>
          <w:szCs w:val="18"/>
          <w:lang w:val="en-US" w:eastAsia="zh-CN"/>
        </w:rPr>
      </w:pPr>
    </w:p>
    <w:sectPr>
      <w:headerReference r:id="rId3" w:type="default"/>
      <w:footerReference r:id="rId4" w:type="default"/>
      <w:pgSz w:w="11906" w:h="16838"/>
      <w:pgMar w:top="1440" w:right="1406" w:bottom="1440" w:left="1406" w:header="851" w:footer="907"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20E9B9">
    <w:pPr>
      <w:pStyle w:val="2"/>
      <w:rPr>
        <w:rFonts w:hint="eastAsia"/>
        <w:lang w:eastAsia="zh-CN"/>
      </w:rPr>
    </w:pPr>
    <w:r>
      <w:rPr>
        <w:rFonts w:hint="eastAsia" w:ascii="微软雅黑" w:hAnsi="微软雅黑" w:eastAsia="微软雅黑" w:cs="微软雅黑"/>
        <w:sz w:val="24"/>
        <w:szCs w:val="24"/>
      </w:rPr>
      <mc:AlternateContent>
        <mc:Choice Requires="wps">
          <w:drawing>
            <wp:anchor distT="0" distB="0" distL="114300" distR="114300" simplePos="0" relativeHeight="251661312" behindDoc="0" locked="0" layoutInCell="1" allowOverlap="1">
              <wp:simplePos x="0" y="0"/>
              <wp:positionH relativeFrom="margin">
                <wp:posOffset>2595245</wp:posOffset>
              </wp:positionH>
              <wp:positionV relativeFrom="paragraph">
                <wp:posOffset>99060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144F8B">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4.35pt;margin-top:7.8pt;height:144pt;width:144pt;mso-position-horizontal-relative:margin;mso-wrap-style:none;z-index:251661312;mso-width-relative:page;mso-height-relative:page;" filled="f" stroked="f" coordsize="21600,21600" o:gfxdata="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BoPKC1wAAAAoBAAAPAAAAAAAAAAEAIAAAACIAAABkcnMvZG93bnJldi54bWxQ&#10;SwECFAAUAAAACACHTuJA6wA4ejECAABjBAAADgAAAAAAAAABACAAAAAmAQAAZHJzL2Uyb0RvYy54&#10;bWxQSwUGAAAAAAYABgBZAQAAyQUAAAAA&#10;">
              <v:fill on="f" focussize="0,0"/>
              <v:stroke on="f" weight="0.5pt"/>
              <v:imagedata o:title=""/>
              <o:lock v:ext="edit" aspectratio="f"/>
              <v:textbox inset="0mm,0mm,0mm,0mm" style="mso-fit-shape-to-text:t;">
                <w:txbxContent>
                  <w:p w14:paraId="15144F8B">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r>
      <w:rPr>
        <w:rFonts w:hint="eastAsia" w:ascii="微软雅黑" w:hAnsi="微软雅黑" w:eastAsia="微软雅黑" w:cs="微软雅黑"/>
        <w:sz w:val="24"/>
        <w:szCs w:val="24"/>
      </w:rPr>
      <w:drawing>
        <wp:anchor distT="0" distB="0" distL="114300" distR="114300" simplePos="0" relativeHeight="251660288" behindDoc="1" locked="0" layoutInCell="1" allowOverlap="1">
          <wp:simplePos x="0" y="0"/>
          <wp:positionH relativeFrom="page">
            <wp:posOffset>0</wp:posOffset>
          </wp:positionH>
          <wp:positionV relativeFrom="page">
            <wp:posOffset>9333230</wp:posOffset>
          </wp:positionV>
          <wp:extent cx="7557770" cy="1326515"/>
          <wp:effectExtent l="0" t="0" r="11430" b="6985"/>
          <wp:wrapNone/>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
                  <a:stretch>
                    <a:fillRect/>
                  </a:stretch>
                </pic:blipFill>
                <pic:spPr>
                  <a:xfrm flipH="1" flipV="1">
                    <a:off x="0" y="0"/>
                    <a:ext cx="7557770" cy="1326515"/>
                  </a:xfrm>
                  <a:prstGeom prst="rect">
                    <a:avLst/>
                  </a:prstGeom>
                  <a:noFill/>
                  <a:ln>
                    <a:noFill/>
                  </a:ln>
                </pic:spPr>
              </pic:pic>
            </a:graphicData>
          </a:graphic>
        </wp:anchor>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664C96">
    <w:pPr>
      <w:pStyle w:val="3"/>
    </w:pPr>
    <w:r>
      <w:drawing>
        <wp:anchor distT="0" distB="0" distL="114300" distR="114300" simplePos="0" relativeHeight="251659264" behindDoc="1" locked="0" layoutInCell="1" allowOverlap="1">
          <wp:simplePos x="0" y="0"/>
          <wp:positionH relativeFrom="page">
            <wp:posOffset>6350</wp:posOffset>
          </wp:positionH>
          <wp:positionV relativeFrom="page">
            <wp:posOffset>-6350</wp:posOffset>
          </wp:positionV>
          <wp:extent cx="7731760" cy="1357630"/>
          <wp:effectExtent l="0" t="0" r="2540" b="127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stretch>
                    <a:fillRect/>
                  </a:stretch>
                </pic:blipFill>
                <pic:spPr>
                  <a:xfrm>
                    <a:off x="0" y="0"/>
                    <a:ext cx="7731760" cy="1357630"/>
                  </a:xfrm>
                  <a:prstGeom prst="rect">
                    <a:avLst/>
                  </a:prstGeom>
                  <a:noFill/>
                  <a:ln>
                    <a:noFill/>
                  </a:ln>
                </pic:spPr>
              </pic:pic>
            </a:graphicData>
          </a:graphic>
          <wp14:sizeRelH relativeFrom="page">
            <wp14:pctWidth>100000</wp14:pctWidth>
          </wp14:sizeRelH>
          <wp14:sizeRelV relativeFrom="page">
            <wp14:pctHeight>0</wp14:pctHeight>
          </wp14:sizeRelV>
        </wp:anchor>
      </w:drawing>
    </w:r>
    <w:r>
      <w:rPr>
        <w:sz w:val="18"/>
      </w:rPr>
      <w:drawing>
        <wp:anchor distT="0" distB="0" distL="114300" distR="114300" simplePos="0" relativeHeight="251662336" behindDoc="1" locked="0" layoutInCell="1" allowOverlap="1">
          <wp:simplePos x="0" y="0"/>
          <wp:positionH relativeFrom="margin">
            <wp:align>center</wp:align>
          </wp:positionH>
          <wp:positionV relativeFrom="margin">
            <wp:align>center</wp:align>
          </wp:positionV>
          <wp:extent cx="5274310" cy="911860"/>
          <wp:effectExtent l="0" t="1616710" r="0" b="1598930"/>
          <wp:wrapNone/>
          <wp:docPr id="3" name="WordPictureWatermark3966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39663" descr="logo"/>
                  <pic:cNvPicPr>
                    <a:picLocks noChangeAspect="1"/>
                  </pic:cNvPicPr>
                </pic:nvPicPr>
                <pic:blipFill>
                  <a:blip r:embed="rId2">
                    <a:lum bright="70000" contrast="-70000"/>
                  </a:blip>
                  <a:stretch>
                    <a:fillRect/>
                  </a:stretch>
                </pic:blipFill>
                <pic:spPr>
                  <a:xfrm rot="18900000">
                    <a:off x="0" y="0"/>
                    <a:ext cx="5274310" cy="91186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0C61D9"/>
    <w:multiLevelType w:val="singleLevel"/>
    <w:tmpl w:val="970C61D9"/>
    <w:lvl w:ilvl="0" w:tentative="0">
      <w:start w:val="1"/>
      <w:numFmt w:val="bullet"/>
      <w:lvlText w:val=""/>
      <w:lvlJc w:val="left"/>
      <w:pPr>
        <w:ind w:left="420" w:hanging="420"/>
      </w:pPr>
      <w:rPr>
        <w:rFonts w:hint="default" w:ascii="Wingdings" w:hAnsi="Wingdings"/>
      </w:rPr>
    </w:lvl>
  </w:abstractNum>
  <w:abstractNum w:abstractNumId="1">
    <w:nsid w:val="D0856594"/>
    <w:multiLevelType w:val="singleLevel"/>
    <w:tmpl w:val="D0856594"/>
    <w:lvl w:ilvl="0" w:tentative="0">
      <w:start w:val="1"/>
      <w:numFmt w:val="lowerLetter"/>
      <w:lvlText w:val="%1."/>
      <w:lvlJc w:val="left"/>
      <w:pPr>
        <w:ind w:left="425" w:hanging="425"/>
      </w:pPr>
      <w:rPr>
        <w:rFonts w:hint="default"/>
      </w:rPr>
    </w:lvl>
  </w:abstractNum>
  <w:abstractNum w:abstractNumId="2">
    <w:nsid w:val="4EB15633"/>
    <w:multiLevelType w:val="singleLevel"/>
    <w:tmpl w:val="4EB15633"/>
    <w:lvl w:ilvl="0" w:tentative="0">
      <w:start w:val="1"/>
      <w:numFmt w:val="decimal"/>
      <w:suff w:val="space"/>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4MmJmZWM4N2NmNzM0ODc5NTJkMGZhNzZhNmI2ZDgifQ=="/>
    <w:docVar w:name="KSO_WPS_MARK_KEY" w:val="a175c853-2163-4135-8f55-df76ab8b3b79"/>
  </w:docVars>
  <w:rsids>
    <w:rsidRoot w:val="00000000"/>
    <w:rsid w:val="07022E98"/>
    <w:rsid w:val="0DF249FC"/>
    <w:rsid w:val="0FE22868"/>
    <w:rsid w:val="11196D9B"/>
    <w:rsid w:val="13AC0DFB"/>
    <w:rsid w:val="1B63383F"/>
    <w:rsid w:val="1B8342A3"/>
    <w:rsid w:val="1BAF4D2D"/>
    <w:rsid w:val="1CC92004"/>
    <w:rsid w:val="1DF62585"/>
    <w:rsid w:val="1EFC5E1C"/>
    <w:rsid w:val="239D478B"/>
    <w:rsid w:val="23D60969"/>
    <w:rsid w:val="2A361EC1"/>
    <w:rsid w:val="2FA13E7C"/>
    <w:rsid w:val="2FFA371C"/>
    <w:rsid w:val="30370D29"/>
    <w:rsid w:val="344F3FA7"/>
    <w:rsid w:val="35E27227"/>
    <w:rsid w:val="361E5AF3"/>
    <w:rsid w:val="3D0561C8"/>
    <w:rsid w:val="3D2C6E4B"/>
    <w:rsid w:val="3F8F6DDC"/>
    <w:rsid w:val="40104234"/>
    <w:rsid w:val="40A61F4C"/>
    <w:rsid w:val="41412BA9"/>
    <w:rsid w:val="42EA64F5"/>
    <w:rsid w:val="42F655C2"/>
    <w:rsid w:val="458B6AE9"/>
    <w:rsid w:val="475F553E"/>
    <w:rsid w:val="4AF85361"/>
    <w:rsid w:val="4C886703"/>
    <w:rsid w:val="4DF23E11"/>
    <w:rsid w:val="5037243C"/>
    <w:rsid w:val="52050B3E"/>
    <w:rsid w:val="52A5300F"/>
    <w:rsid w:val="54100711"/>
    <w:rsid w:val="56117BEC"/>
    <w:rsid w:val="57D74650"/>
    <w:rsid w:val="58453BCE"/>
    <w:rsid w:val="6085265B"/>
    <w:rsid w:val="60A74B67"/>
    <w:rsid w:val="61F214F0"/>
    <w:rsid w:val="63F70CE7"/>
    <w:rsid w:val="6F171F8A"/>
    <w:rsid w:val="71EF4EDD"/>
    <w:rsid w:val="75C43A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sv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2.jpe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svg"/><Relationship Id="rId11" Type="http://schemas.openxmlformats.org/officeDocument/2006/relationships/image" Target="media/image8.png"/><Relationship Id="rId10" Type="http://schemas.openxmlformats.org/officeDocument/2006/relationships/image" Target="media/image7.sv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1660</Words>
  <Characters>2105</Characters>
  <Lines>0</Lines>
  <Paragraphs>0</Paragraphs>
  <TotalTime>0</TotalTime>
  <ScaleCrop>false</ScaleCrop>
  <LinksUpToDate>false</LinksUpToDate>
  <CharactersWithSpaces>2165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2022-03-28T04:49:00Z</dcterms:created>
  <dc:creator>omicsolution</dc:creator>
  <cp:lastModifiedBy>＄@＃</cp:lastModifiedBy>
  <dcterms:modified xsi:type="dcterms:W3CDTF">2026-06-09T02:08:03Z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C3DA9817AC064200BDE3E29D4CFCE601_13</vt:lpwstr>
  </property>
  <property fmtid="{D5CDD505-2E9C-101B-9397-08002B2CF9AE}" pid="4" name="KSOTemplateDocerSaveRecord">
    <vt:lpwstr>eyJoZGlkIjoiNGE4MmJmZWM4N2NmNzM0ODc5NTJkMGZhNzZhNmI2ZDgiLCJ1c2VySWQiOiI2OTYyMTYzMjYifQ==</vt:lpwstr>
  </property>
</Properties>
</file>