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11.svg" ContentType="image/svg+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2D5E7E">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易肽DeeP低丰度蛋白富集及前处理制备试剂盒</w:t>
      </w:r>
    </w:p>
    <w:p w14:paraId="48C97930">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货号：OSFP0002  规格：8x  版本号：V20260609DH</w:t>
      </w:r>
    </w:p>
    <w:p w14:paraId="49770477">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389"/>
        <w:gridCol w:w="1514"/>
        <w:gridCol w:w="4329"/>
        <w:gridCol w:w="1287"/>
      </w:tblGrid>
      <w:tr w14:paraId="666E2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16883C2F">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试剂名称</w:t>
            </w:r>
          </w:p>
        </w:tc>
        <w:tc>
          <w:tcPr>
            <w:tcW w:w="888" w:type="pct"/>
            <w:tcBorders>
              <w:top w:val="single" w:color="auto" w:sz="6" w:space="0"/>
              <w:bottom w:val="single" w:color="auto" w:sz="6" w:space="0"/>
            </w:tcBorders>
            <w:vAlign w:val="center"/>
          </w:tcPr>
          <w:p w14:paraId="75829CB0">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规格</w:t>
            </w:r>
          </w:p>
        </w:tc>
        <w:tc>
          <w:tcPr>
            <w:tcW w:w="2540" w:type="pct"/>
            <w:tcBorders>
              <w:top w:val="single" w:color="auto" w:sz="6" w:space="0"/>
              <w:bottom w:val="single" w:color="auto" w:sz="6" w:space="0"/>
            </w:tcBorders>
            <w:vAlign w:val="center"/>
          </w:tcPr>
          <w:p w14:paraId="758910C1">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简   介</w:t>
            </w:r>
          </w:p>
        </w:tc>
        <w:tc>
          <w:tcPr>
            <w:tcW w:w="755" w:type="pct"/>
            <w:tcBorders>
              <w:top w:val="single" w:color="auto" w:sz="6" w:space="0"/>
              <w:bottom w:val="single" w:color="auto" w:sz="6" w:space="0"/>
            </w:tcBorders>
            <w:vAlign w:val="center"/>
          </w:tcPr>
          <w:p w14:paraId="59BAA321">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储存条件</w:t>
            </w:r>
          </w:p>
        </w:tc>
      </w:tr>
      <w:tr w14:paraId="45AEB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15319026">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试剂A </w:t>
            </w:r>
            <w:r>
              <w:rPr>
                <w:rFonts w:hint="eastAsia" w:ascii="微软雅黑" w:hAnsi="微软雅黑" w:eastAsia="微软雅黑" w:cs="微软雅黑"/>
                <w:color w:val="843C0B" w:themeColor="accent2" w:themeShade="80"/>
                <w:sz w:val="18"/>
                <w:szCs w:val="18"/>
              </w:rPr>
              <w:t>●</w:t>
            </w:r>
          </w:p>
        </w:tc>
        <w:tc>
          <w:tcPr>
            <w:tcW w:w="888" w:type="pct"/>
            <w:tcBorders>
              <w:top w:val="nil"/>
              <w:bottom w:val="nil"/>
            </w:tcBorders>
            <w:vAlign w:val="center"/>
          </w:tcPr>
          <w:p w14:paraId="79BAC68F">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52</w:t>
            </w:r>
            <w:r>
              <w:rPr>
                <w:rFonts w:hint="eastAsia" w:ascii="微软雅黑" w:hAnsi="微软雅黑" w:eastAsia="微软雅黑" w:cs="微软雅黑"/>
                <w:sz w:val="18"/>
                <w:szCs w:val="18"/>
              </w:rPr>
              <w:t>0</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30A58096">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还原烷基化，蛋白质还原烷基化</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lang w:val="en-US" w:eastAsia="zh-CN"/>
              </w:rPr>
              <w:t>也可用于蛋白裂解</w:t>
            </w:r>
          </w:p>
        </w:tc>
        <w:tc>
          <w:tcPr>
            <w:tcW w:w="755" w:type="pct"/>
            <w:tcBorders>
              <w:top w:val="nil"/>
              <w:bottom w:val="nil"/>
            </w:tcBorders>
            <w:vAlign w:val="center"/>
          </w:tcPr>
          <w:p w14:paraId="689EEE1D">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70212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6A6A14C7">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B</w:t>
            </w:r>
            <w:r>
              <w:rPr>
                <w:rFonts w:hint="eastAsia" w:ascii="微软雅黑" w:hAnsi="微软雅黑" w:eastAsia="微软雅黑" w:cs="微软雅黑"/>
                <w:sz w:val="18"/>
                <w:szCs w:val="18"/>
              </w:rPr>
              <w:t xml:space="preserve"> </w:t>
            </w:r>
            <w:r>
              <w:rPr>
                <w:rFonts w:hint="eastAsia" w:ascii="微软雅黑" w:hAnsi="微软雅黑" w:eastAsia="微软雅黑" w:cs="微软雅黑"/>
                <w:color w:val="FF0000"/>
                <w:sz w:val="18"/>
                <w:szCs w:val="18"/>
              </w:rPr>
              <w:t>●</w:t>
            </w:r>
          </w:p>
        </w:tc>
        <w:tc>
          <w:tcPr>
            <w:tcW w:w="888" w:type="pct"/>
            <w:tcBorders>
              <w:top w:val="nil"/>
              <w:bottom w:val="nil"/>
            </w:tcBorders>
            <w:vAlign w:val="center"/>
          </w:tcPr>
          <w:p w14:paraId="4E0F7B95">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140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5CD2D3A5">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酶，蛋白酶解</w:t>
            </w:r>
          </w:p>
        </w:tc>
        <w:tc>
          <w:tcPr>
            <w:tcW w:w="755" w:type="pct"/>
            <w:tcBorders>
              <w:top w:val="nil"/>
              <w:bottom w:val="nil"/>
            </w:tcBorders>
            <w:vAlign w:val="center"/>
          </w:tcPr>
          <w:p w14:paraId="6BC61546">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-20℃</w:t>
            </w:r>
          </w:p>
        </w:tc>
      </w:tr>
      <w:tr w14:paraId="026C6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4997A9F0">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C</w:t>
            </w:r>
            <w:r>
              <w:rPr>
                <w:rFonts w:hint="eastAsia" w:ascii="微软雅黑" w:hAnsi="微软雅黑" w:eastAsia="微软雅黑" w:cs="微软雅黑"/>
                <w:sz w:val="18"/>
                <w:szCs w:val="18"/>
              </w:rPr>
              <w:t xml:space="preserve"> ●</w:t>
            </w:r>
          </w:p>
        </w:tc>
        <w:tc>
          <w:tcPr>
            <w:tcW w:w="888" w:type="pct"/>
            <w:tcBorders>
              <w:top w:val="nil"/>
              <w:bottom w:val="nil"/>
            </w:tcBorders>
            <w:vAlign w:val="center"/>
          </w:tcPr>
          <w:p w14:paraId="07DF04E0">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40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669D796C">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终止试剂，终止酶解反应</w:t>
            </w:r>
          </w:p>
        </w:tc>
        <w:tc>
          <w:tcPr>
            <w:tcW w:w="755" w:type="pct"/>
            <w:tcBorders>
              <w:top w:val="nil"/>
              <w:bottom w:val="nil"/>
            </w:tcBorders>
            <w:vAlign w:val="center"/>
          </w:tcPr>
          <w:p w14:paraId="4EDCA230">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常温</w:t>
            </w:r>
          </w:p>
        </w:tc>
      </w:tr>
      <w:tr w14:paraId="1CDF2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102ABBC0">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 xml:space="preserve">试剂G </w:t>
            </w:r>
            <w:r>
              <w:rPr>
                <w:rFonts w:hint="eastAsia" w:ascii="微软雅黑" w:hAnsi="微软雅黑" w:eastAsia="微软雅黑" w:cs="微软雅黑"/>
                <w:color w:val="7030A0"/>
                <w:sz w:val="18"/>
                <w:szCs w:val="18"/>
              </w:rPr>
              <w:t>●</w:t>
            </w:r>
          </w:p>
        </w:tc>
        <w:tc>
          <w:tcPr>
            <w:tcW w:w="888" w:type="pct"/>
            <w:tcBorders>
              <w:top w:val="nil"/>
              <w:bottom w:val="nil"/>
            </w:tcBorders>
            <w:vAlign w:val="center"/>
          </w:tcPr>
          <w:p w14:paraId="538C3E5E">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rPr>
              <w:t>2</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ml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5</w:t>
            </w:r>
          </w:p>
        </w:tc>
        <w:tc>
          <w:tcPr>
            <w:tcW w:w="2540" w:type="pct"/>
            <w:tcBorders>
              <w:top w:val="nil"/>
              <w:bottom w:val="nil"/>
            </w:tcBorders>
            <w:vAlign w:val="center"/>
          </w:tcPr>
          <w:p w14:paraId="3CC25DEE">
            <w:pPr>
              <w:spacing w:line="360" w:lineRule="auto"/>
              <w:jc w:val="cente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磁性微粒清洗液</w:t>
            </w:r>
          </w:p>
        </w:tc>
        <w:tc>
          <w:tcPr>
            <w:tcW w:w="755" w:type="pct"/>
            <w:tcBorders>
              <w:top w:val="nil"/>
              <w:bottom w:val="nil"/>
            </w:tcBorders>
            <w:vAlign w:val="center"/>
          </w:tcPr>
          <w:p w14:paraId="7FEBC6A5">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r>
      <w:tr w14:paraId="2E299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754B9406">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试剂</w:t>
            </w:r>
            <w:r>
              <w:rPr>
                <w:rFonts w:hint="eastAsia" w:ascii="微软雅黑" w:hAnsi="微软雅黑" w:eastAsia="微软雅黑" w:cs="微软雅黑"/>
                <w:sz w:val="18"/>
                <w:szCs w:val="18"/>
                <w:lang w:val="en-US" w:eastAsia="zh-CN"/>
              </w:rPr>
              <w:t xml:space="preserve">H </w:t>
            </w:r>
            <w:r>
              <w:rPr>
                <w:rFonts w:hint="eastAsia" w:ascii="微软雅黑" w:hAnsi="微软雅黑" w:eastAsia="微软雅黑" w:cs="微软雅黑"/>
                <w:color w:val="FFC000"/>
                <w:sz w:val="18"/>
                <w:szCs w:val="18"/>
              </w:rPr>
              <w:t>●</w:t>
            </w:r>
          </w:p>
        </w:tc>
        <w:tc>
          <w:tcPr>
            <w:tcW w:w="888" w:type="pct"/>
            <w:tcBorders>
              <w:top w:val="nil"/>
              <w:bottom w:val="nil"/>
            </w:tcBorders>
            <w:vAlign w:val="center"/>
          </w:tcPr>
          <w:p w14:paraId="421C9134">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850 </w:t>
            </w:r>
            <w:r>
              <w:rPr>
                <w:rFonts w:hint="eastAsia" w:ascii="微软雅黑" w:hAnsi="微软雅黑" w:eastAsia="微软雅黑" w:cs="微软雅黑"/>
                <w:sz w:val="18"/>
                <w:szCs w:val="18"/>
              </w:rPr>
              <w:t>μl</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1</w:t>
            </w:r>
          </w:p>
        </w:tc>
        <w:tc>
          <w:tcPr>
            <w:tcW w:w="2540" w:type="pct"/>
            <w:tcBorders>
              <w:top w:val="nil"/>
              <w:bottom w:val="nil"/>
            </w:tcBorders>
            <w:vAlign w:val="center"/>
          </w:tcPr>
          <w:p w14:paraId="11997BEC">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磁性</w:t>
            </w:r>
            <w:r>
              <w:rPr>
                <w:rFonts w:hint="eastAsia" w:ascii="微软雅黑" w:hAnsi="微软雅黑" w:eastAsia="微软雅黑" w:cs="微软雅黑"/>
                <w:sz w:val="18"/>
                <w:szCs w:val="18"/>
                <w:lang w:val="en-US" w:eastAsia="zh-CN"/>
              </w:rPr>
              <w:t>微粒</w:t>
            </w:r>
            <w:r>
              <w:rPr>
                <w:rFonts w:hint="eastAsia" w:ascii="微软雅黑" w:hAnsi="微软雅黑" w:eastAsia="微软雅黑" w:cs="微软雅黑"/>
                <w:sz w:val="18"/>
                <w:szCs w:val="18"/>
              </w:rPr>
              <w:t>悬液</w:t>
            </w:r>
          </w:p>
        </w:tc>
        <w:tc>
          <w:tcPr>
            <w:tcW w:w="755" w:type="pct"/>
            <w:tcBorders>
              <w:top w:val="nil"/>
              <w:bottom w:val="nil"/>
            </w:tcBorders>
            <w:vAlign w:val="center"/>
          </w:tcPr>
          <w:p w14:paraId="07EBC10E">
            <w:pPr>
              <w:spacing w:line="360" w:lineRule="auto"/>
              <w:jc w:val="center"/>
              <w:rPr>
                <w:rFonts w:hint="eastAsia" w:ascii="微软雅黑" w:hAnsi="微软雅黑" w:eastAsia="微软雅黑" w:cs="微软雅黑"/>
                <w:sz w:val="18"/>
                <w:szCs w:val="18"/>
              </w:rPr>
            </w:pPr>
            <w:r>
              <w:rPr>
                <w:rFonts w:hint="eastAsia" w:ascii="微软雅黑" w:hAnsi="微软雅黑" w:eastAsia="微软雅黑" w:cs="微软雅黑"/>
                <w:sz w:val="18"/>
                <w:szCs w:val="18"/>
              </w:rPr>
              <w:t>4℃</w:t>
            </w:r>
          </w:p>
        </w:tc>
      </w:tr>
      <w:tr w14:paraId="01DC2D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single" w:color="auto" w:sz="4" w:space="0"/>
            </w:tcBorders>
            <w:vAlign w:val="center"/>
          </w:tcPr>
          <w:p w14:paraId="26B1F95A">
            <w:pPr>
              <w:spacing w:line="360" w:lineRule="auto"/>
              <w:jc w:val="center"/>
              <w:rPr>
                <w:rFonts w:hint="default"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lang w:val="en-US" w:eastAsia="zh-CN"/>
              </w:rPr>
              <w:t>Cartridge</w:t>
            </w:r>
          </w:p>
        </w:tc>
        <w:tc>
          <w:tcPr>
            <w:tcW w:w="888" w:type="pct"/>
            <w:tcBorders>
              <w:top w:val="nil"/>
              <w:bottom w:val="single" w:color="auto" w:sz="4" w:space="0"/>
            </w:tcBorders>
            <w:vAlign w:val="center"/>
          </w:tcPr>
          <w:p w14:paraId="1812D704">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20μg载量</w:t>
            </w:r>
            <w:r>
              <w:rPr>
                <w:rFonts w:hint="eastAsia" w:ascii="微软雅黑" w:hAnsi="微软雅黑" w:eastAsia="微软雅黑" w:cs="微软雅黑"/>
                <w:sz w:val="18"/>
                <w:szCs w:val="18"/>
                <w:lang w:val="en-US" w:eastAsia="zh-CN"/>
              </w:rPr>
              <w:t xml:space="preserve"> </w:t>
            </w:r>
            <w:r>
              <w:rPr>
                <w:rFonts w:hint="eastAsia" w:ascii="微软雅黑" w:hAnsi="微软雅黑" w:eastAsia="微软雅黑" w:cs="微软雅黑"/>
                <w:sz w:val="18"/>
                <w:szCs w:val="18"/>
              </w:rPr>
              <w:t>*</w:t>
            </w:r>
            <w:r>
              <w:rPr>
                <w:rFonts w:hint="eastAsia" w:ascii="微软雅黑" w:hAnsi="微软雅黑" w:eastAsia="微软雅黑" w:cs="微软雅黑"/>
                <w:sz w:val="18"/>
                <w:szCs w:val="18"/>
                <w:lang w:val="en-US" w:eastAsia="zh-CN"/>
              </w:rPr>
              <w:t xml:space="preserve"> 8</w:t>
            </w:r>
          </w:p>
        </w:tc>
        <w:tc>
          <w:tcPr>
            <w:tcW w:w="2540" w:type="pct"/>
            <w:tcBorders>
              <w:top w:val="nil"/>
              <w:bottom w:val="single" w:color="auto" w:sz="4" w:space="0"/>
            </w:tcBorders>
            <w:vAlign w:val="center"/>
          </w:tcPr>
          <w:p w14:paraId="3F3F77E7">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肽段脱盐</w:t>
            </w:r>
          </w:p>
        </w:tc>
        <w:tc>
          <w:tcPr>
            <w:tcW w:w="755" w:type="pct"/>
            <w:tcBorders>
              <w:top w:val="nil"/>
              <w:bottom w:val="single" w:color="auto" w:sz="4" w:space="0"/>
            </w:tcBorders>
            <w:vAlign w:val="center"/>
          </w:tcPr>
          <w:p w14:paraId="7F0042C1">
            <w:pPr>
              <w:spacing w:line="360" w:lineRule="auto"/>
              <w:jc w:val="center"/>
              <w:rPr>
                <w:rFonts w:hint="eastAsia" w:ascii="微软雅黑" w:hAnsi="微软雅黑" w:eastAsia="微软雅黑" w:cs="微软雅黑"/>
                <w:kern w:val="2"/>
                <w:sz w:val="18"/>
                <w:szCs w:val="18"/>
                <w:lang w:val="en-US" w:eastAsia="zh-CN" w:bidi="ar-SA"/>
              </w:rPr>
            </w:pPr>
            <w:r>
              <w:rPr>
                <w:rFonts w:hint="eastAsia" w:ascii="微软雅黑" w:hAnsi="微软雅黑" w:eastAsia="微软雅黑" w:cs="微软雅黑"/>
                <w:sz w:val="18"/>
                <w:szCs w:val="18"/>
              </w:rPr>
              <w:t>常温</w:t>
            </w:r>
          </w:p>
        </w:tc>
      </w:tr>
    </w:tbl>
    <w:p w14:paraId="4D4C8529">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bookmarkStart w:id="1" w:name="_GoBack"/>
      <w:bookmarkEnd w:id="1"/>
    </w:p>
    <w:p w14:paraId="43958052">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易肽DeeP低丰度蛋白富集试剂盒基于功能性生物磁珠对生物样本中低丰度蛋白进行富集，突破物种和蛋白种类的限制。基于简单的孵育-磁分离-清洗三步即可实现高效快速的低丰度蛋白富集。</w:t>
      </w:r>
    </w:p>
    <w:p w14:paraId="6CBCC920">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功能性生物磁珠是指表面修饰有功能性基团的具有超顺磁性的磁性微粒，表面的功能性基团包括羧基（PuriMag Si-COOH，PuriMag）、氨基（PuriMag Si-NH2，PuriMag）、阳离子涂层（PuriMag Si-WAX，PuriMag）、阴离子涂层（PuriMag Si-WCX，PuriMag）和羟基（PuriMag GS-OH，PuriMag），可通过静电相互作用等非共价作用与生物样本中的蛋白进行结合，从而实现对低丰度蛋白高效快速富集。并且由于具有磁性，富集到的蛋白更易实现磁场下快速分离，操作更简单。</w:t>
      </w:r>
    </w:p>
    <w:p w14:paraId="6985582C">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同时，基于溶液内快速酶解的前处理方法，解决了蛋白洗脱不完全及传统方法耗时长的弊端，仅需3-4小时即可完成质谱检测前的所有步骤，实现低丰度蛋白的高效快速富集及制备，实现各种样本的蛋白质组深度覆盖检测。</w:t>
      </w:r>
    </w:p>
    <w:p w14:paraId="7880C006">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267325" cy="3919855"/>
            <wp:effectExtent l="0" t="0" r="0" b="0"/>
            <wp:docPr id="13" name="图片 13" descr="F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e-8"/>
                    <pic:cNvPicPr>
                      <a:picLocks noChangeAspect="1"/>
                    </pic:cNvPicPr>
                  </pic:nvPicPr>
                  <pic:blipFill>
                    <a:blip r:embed="rId6"/>
                    <a:stretch>
                      <a:fillRect/>
                    </a:stretch>
                  </pic:blipFill>
                  <pic:spPr>
                    <a:xfrm>
                      <a:off x="0" y="0"/>
                      <a:ext cx="5267325" cy="3919855"/>
                    </a:xfrm>
                    <a:prstGeom prst="rect">
                      <a:avLst/>
                    </a:prstGeom>
                  </pic:spPr>
                </pic:pic>
              </a:graphicData>
            </a:graphic>
          </wp:inline>
        </w:drawing>
      </w:r>
    </w:p>
    <w:p w14:paraId="66C09780">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42F735B7">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570"/>
        <w:gridCol w:w="1401"/>
        <w:gridCol w:w="5548"/>
      </w:tblGrid>
      <w:tr w14:paraId="738400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7D54918E">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7D4F3E3A">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50C7AC91">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57AEB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561492B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1B85FED8">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2DBDA637">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45FF4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57D05F46">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3A20858E">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1980E7DB">
            <w:pPr>
              <w:spacing w:line="240" w:lineRule="auto"/>
              <w:jc w:val="left"/>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p>
        </w:tc>
      </w:tr>
      <w:tr w14:paraId="76157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2A37CD7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14AAF83B">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5CCD0FA1">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3E1F3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4DD4C13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5D4B4ABC">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24510" cy="720725"/>
                  <wp:effectExtent l="0" t="0" r="8890" b="10795"/>
                  <wp:docPr id="8" name="图片 8" descr="离心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离心机"/>
                          <pic:cNvPicPr>
                            <a:picLocks noChangeAspect="1"/>
                          </pic:cNvPicPr>
                        </pic:nvPicPr>
                        <pic:blipFill>
                          <a:blip r:embed="rId13">
                            <a:extLst>
                              <a:ext uri="{96DAC541-7B7A-43D3-8B79-37D633B846F1}">
                                <asvg:svgBlip xmlns:asvg="http://schemas.microsoft.com/office/drawing/2016/SVG/main" r:embed="rId14"/>
                              </a:ext>
                            </a:extLst>
                          </a:blip>
                          <a:srcRect l="12541" t="7203" r="54272" b="11780"/>
                          <a:stretch>
                            <a:fillRect/>
                          </a:stretch>
                        </pic:blipFill>
                        <pic:spPr>
                          <a:xfrm>
                            <a:off x="0" y="0"/>
                            <a:ext cx="524510" cy="720725"/>
                          </a:xfrm>
                          <a:prstGeom prst="rect">
                            <a:avLst/>
                          </a:prstGeom>
                        </pic:spPr>
                      </pic:pic>
                    </a:graphicData>
                  </a:graphic>
                </wp:inline>
              </w:drawing>
            </w:r>
          </w:p>
        </w:tc>
        <w:tc>
          <w:tcPr>
            <w:tcW w:w="3256" w:type="pct"/>
            <w:tcBorders>
              <w:top w:val="nil"/>
              <w:bottom w:val="nil"/>
            </w:tcBorders>
            <w:vAlign w:val="center"/>
          </w:tcPr>
          <w:p w14:paraId="540D31B8">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3D56C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59F2724D">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5A2E5609">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rPr>
              <w:drawing>
                <wp:inline distT="0" distB="0" distL="114300" distR="114300">
                  <wp:extent cx="759460" cy="937895"/>
                  <wp:effectExtent l="0" t="0" r="254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5"/>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7CA8E992">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1F139F96">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3.2 试剂</w:t>
      </w:r>
    </w:p>
    <w:p w14:paraId="3AF1F7CE">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Trifluoroacetic acid (TFA)  </w:t>
      </w:r>
    </w:p>
    <w:p w14:paraId="103798C9">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Acetonitrile (ACN), LC-MS Grade </w:t>
      </w:r>
    </w:p>
    <w:p w14:paraId="41A81CA3">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Water, LC-MS Grade  </w:t>
      </w:r>
    </w:p>
    <w:p w14:paraId="31184067">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Methanol (MeOH), Optima™ LC-MS Grade </w:t>
      </w:r>
    </w:p>
    <w:p w14:paraId="4CBF86B1">
      <w:pPr>
        <w:widowControl/>
        <w:numPr>
          <w:ilvl w:val="0"/>
          <w:numId w:val="2"/>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Low Protein Binding Microcentrifuge Tubes, 2.0 mL/1.5mL</w:t>
      </w:r>
    </w:p>
    <w:p w14:paraId="03E620C7">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4. 试剂准备</w:t>
      </w:r>
    </w:p>
    <w:p w14:paraId="03835F46">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Condition buffer：</w:t>
      </w:r>
      <w:r>
        <w:rPr>
          <w:rFonts w:ascii="Times New Roman" w:hAnsi="Times New Roman" w:eastAsia="微软雅黑" w:cs="Times New Roman"/>
          <w:color w:val="000000"/>
          <w:kern w:val="0"/>
          <w:sz w:val="21"/>
          <w:szCs w:val="21"/>
          <w:lang w:bidi="ar"/>
        </w:rPr>
        <w:t>70%ACN，0.2%TFA，每个样本需要100μl，</w:t>
      </w:r>
      <w:r>
        <w:rPr>
          <w:rFonts w:hint="eastAsia" w:ascii="Times New Roman" w:hAnsi="Times New Roman" w:eastAsia="微软雅黑" w:cs="Times New Roman"/>
          <w:color w:val="000000"/>
          <w:kern w:val="0"/>
          <w:sz w:val="21"/>
          <w:szCs w:val="21"/>
          <w:lang w:val="en-US" w:eastAsia="zh-CN" w:bidi="ar"/>
        </w:rPr>
        <w:t>2</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298</w:t>
      </w:r>
      <w:r>
        <w:rPr>
          <w:rFonts w:ascii="Times New Roman" w:hAnsi="Times New Roman" w:eastAsia="微软雅黑" w:cs="Times New Roman"/>
          <w:color w:val="000000"/>
          <w:kern w:val="0"/>
          <w:sz w:val="21"/>
          <w:szCs w:val="21"/>
          <w:lang w:bidi="ar"/>
        </w:rPr>
        <w:t>μl超纯水和</w:t>
      </w:r>
      <w:r>
        <w:rPr>
          <w:rFonts w:hint="eastAsia" w:ascii="Times New Roman" w:hAnsi="Times New Roman" w:eastAsia="微软雅黑" w:cs="Times New Roman"/>
          <w:color w:val="000000"/>
          <w:kern w:val="0"/>
          <w:sz w:val="21"/>
          <w:szCs w:val="21"/>
          <w:lang w:val="en-US" w:eastAsia="zh-CN" w:bidi="ar"/>
        </w:rPr>
        <w:t>700</w:t>
      </w:r>
      <w:r>
        <w:rPr>
          <w:rFonts w:ascii="Times New Roman" w:hAnsi="Times New Roman" w:eastAsia="微软雅黑" w:cs="Times New Roman"/>
          <w:color w:val="000000"/>
          <w:kern w:val="0"/>
          <w:sz w:val="21"/>
          <w:szCs w:val="21"/>
          <w:lang w:bidi="ar"/>
        </w:rPr>
        <w:t>μl无水乙腈中，混匀；</w:t>
      </w:r>
    </w:p>
    <w:p w14:paraId="0D57C426">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Wash buffer：</w:t>
      </w:r>
      <w:r>
        <w:rPr>
          <w:rFonts w:ascii="Times New Roman" w:hAnsi="Times New Roman" w:eastAsia="微软雅黑" w:cs="Times New Roman"/>
          <w:color w:val="000000"/>
          <w:kern w:val="0"/>
          <w:sz w:val="21"/>
          <w:szCs w:val="21"/>
          <w:lang w:bidi="ar"/>
        </w:rPr>
        <w:t>0.2%TFA，每个样本需要300μl，</w:t>
      </w:r>
      <w:r>
        <w:rPr>
          <w:rFonts w:hint="eastAsia" w:ascii="Times New Roman" w:hAnsi="Times New Roman" w:eastAsia="微软雅黑" w:cs="Times New Roman"/>
          <w:color w:val="000000"/>
          <w:kern w:val="0"/>
          <w:sz w:val="21"/>
          <w:szCs w:val="21"/>
          <w:lang w:val="en-US" w:eastAsia="zh-CN" w:bidi="ar"/>
        </w:rPr>
        <w:t>6</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2.994m</w:t>
      </w:r>
      <w:r>
        <w:rPr>
          <w:rFonts w:ascii="Times New Roman" w:hAnsi="Times New Roman" w:eastAsia="微软雅黑" w:cs="Times New Roman"/>
          <w:color w:val="000000"/>
          <w:kern w:val="0"/>
          <w:sz w:val="21"/>
          <w:szCs w:val="21"/>
          <w:lang w:bidi="ar"/>
        </w:rPr>
        <w:t>l超纯水，混匀；</w:t>
      </w:r>
    </w:p>
    <w:p w14:paraId="7A5B4675">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Elution buffer：</w:t>
      </w:r>
      <w:r>
        <w:rPr>
          <w:rFonts w:ascii="Times New Roman" w:hAnsi="Times New Roman" w:eastAsia="微软雅黑" w:cs="Times New Roman"/>
          <w:color w:val="000000"/>
          <w:kern w:val="0"/>
          <w:sz w:val="21"/>
          <w:szCs w:val="21"/>
          <w:lang w:bidi="ar"/>
        </w:rPr>
        <w:t>90%ACN，0.2%TFA，每个样本需要</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r>
        <w:rPr>
          <w:rFonts w:hint="eastAsia" w:ascii="Times New Roman" w:hAnsi="Times New Roman" w:eastAsia="微软雅黑" w:cs="Times New Roman"/>
          <w:color w:val="000000"/>
          <w:kern w:val="0"/>
          <w:sz w:val="21"/>
          <w:szCs w:val="21"/>
          <w:lang w:val="en-US" w:eastAsia="zh-CN" w:bidi="ar"/>
        </w:rPr>
        <w:t>2</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98</w:t>
      </w:r>
      <w:r>
        <w:rPr>
          <w:rFonts w:ascii="Times New Roman" w:hAnsi="Times New Roman" w:eastAsia="微软雅黑" w:cs="Times New Roman"/>
          <w:color w:val="000000"/>
          <w:kern w:val="0"/>
          <w:sz w:val="21"/>
          <w:szCs w:val="21"/>
          <w:lang w:bidi="ar"/>
        </w:rPr>
        <w:t>μl超纯水和</w:t>
      </w:r>
      <w:r>
        <w:rPr>
          <w:rFonts w:hint="eastAsia" w:ascii="Times New Roman" w:hAnsi="Times New Roman" w:eastAsia="微软雅黑" w:cs="Times New Roman"/>
          <w:color w:val="000000"/>
          <w:kern w:val="0"/>
          <w:sz w:val="21"/>
          <w:szCs w:val="21"/>
          <w:lang w:val="en-US" w:eastAsia="zh-CN" w:bidi="ar"/>
        </w:rPr>
        <w:t>900</w:t>
      </w:r>
      <w:r>
        <w:rPr>
          <w:rFonts w:ascii="Times New Roman" w:hAnsi="Times New Roman" w:eastAsia="微软雅黑" w:cs="Times New Roman"/>
          <w:color w:val="000000"/>
          <w:kern w:val="0"/>
          <w:sz w:val="21"/>
          <w:szCs w:val="21"/>
          <w:lang w:bidi="ar"/>
        </w:rPr>
        <w:t>μl无水乙腈中，混匀。</w:t>
      </w:r>
    </w:p>
    <w:p w14:paraId="04DA94A8">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 操作过程</w:t>
      </w:r>
    </w:p>
    <w:p w14:paraId="6C7FCCCA">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5.1  蛋白富集</w:t>
      </w:r>
    </w:p>
    <w:p w14:paraId="5B0C70E9">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a. </w:t>
      </w:r>
      <w:r>
        <w:rPr>
          <w:rFonts w:hint="eastAsia" w:ascii="Times New Roman" w:hAnsi="Times New Roman" w:eastAsia="微软雅黑" w:cs="Times New Roman"/>
          <w:color w:val="000000"/>
          <w:kern w:val="0"/>
          <w:sz w:val="21"/>
          <w:szCs w:val="21"/>
          <w:lang w:val="en-US" w:eastAsia="zh-CN" w:bidi="ar"/>
        </w:rPr>
        <w:t>使用前，取出试剂H通过吹打或者超声使其分散均匀，然后</w:t>
      </w:r>
      <w:r>
        <w:rPr>
          <w:rFonts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 xml:space="preserve">0 </w:t>
      </w:r>
      <w:r>
        <w:rPr>
          <w:rFonts w:hint="default" w:ascii="Times New Roman" w:hAnsi="Times New Roman" w:eastAsia="微软雅黑" w:cs="Times New Roman"/>
          <w:color w:val="000000"/>
          <w:kern w:val="0"/>
          <w:sz w:val="21"/>
          <w:szCs w:val="21"/>
          <w:lang w:val="en-US" w:eastAsia="zh-CN" w:bidi="ar"/>
        </w:rPr>
        <w:t>μ</w:t>
      </w:r>
      <w:r>
        <w:rPr>
          <w:rFonts w:ascii="Times New Roman" w:hAnsi="Times New Roman" w:eastAsia="微软雅黑" w:cs="Times New Roman"/>
          <w:color w:val="000000"/>
          <w:kern w:val="0"/>
          <w:sz w:val="21"/>
          <w:szCs w:val="21"/>
          <w:lang w:bidi="ar"/>
        </w:rPr>
        <w:t>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H加入到100</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血浆样本中</w:t>
      </w:r>
      <w:r>
        <w:rPr>
          <w:rFonts w:ascii="Times New Roman" w:hAnsi="Times New Roman" w:eastAsia="微软雅黑" w:cs="Times New Roman"/>
          <w:color w:val="000000"/>
          <w:kern w:val="0"/>
          <w:sz w:val="21"/>
          <w:szCs w:val="21"/>
          <w:lang w:bidi="ar"/>
        </w:rPr>
        <w:t>；</w:t>
      </w:r>
    </w:p>
    <w:p w14:paraId="44E0EF2D">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 xml:space="preserve">b. </w:t>
      </w:r>
      <w:r>
        <w:rPr>
          <w:rFonts w:ascii="Times New Roman" w:hAnsi="Times New Roman" w:eastAsia="微软雅黑" w:cs="Times New Roman"/>
          <w:color w:val="000000"/>
          <w:kern w:val="0"/>
          <w:sz w:val="21"/>
          <w:szCs w:val="21"/>
          <w:lang w:bidi="ar"/>
        </w:rPr>
        <w:t>置于</w:t>
      </w:r>
      <w:r>
        <w:rPr>
          <w:rFonts w:hint="eastAsia" w:ascii="Times New Roman" w:hAnsi="Times New Roman" w:eastAsia="微软雅黑" w:cs="Times New Roman"/>
          <w:color w:val="000000"/>
          <w:kern w:val="0"/>
          <w:sz w:val="21"/>
          <w:szCs w:val="21"/>
          <w:lang w:val="en-US" w:eastAsia="zh-CN" w:bidi="ar"/>
        </w:rPr>
        <w:t>恒温</w:t>
      </w:r>
      <w:r>
        <w:rPr>
          <w:rFonts w:ascii="Times New Roman" w:hAnsi="Times New Roman" w:eastAsia="微软雅黑" w:cs="Times New Roman"/>
          <w:color w:val="000000"/>
          <w:kern w:val="0"/>
          <w:sz w:val="21"/>
          <w:szCs w:val="21"/>
          <w:lang w:bidi="ar"/>
        </w:rPr>
        <w:t xml:space="preserve">混匀仪上，37 ℃ </w:t>
      </w:r>
      <w:r>
        <w:rPr>
          <w:rFonts w:hint="eastAsia" w:ascii="Times New Roman" w:hAnsi="Times New Roman" w:eastAsia="微软雅黑" w:cs="Times New Roman"/>
          <w:color w:val="000000"/>
          <w:kern w:val="0"/>
          <w:sz w:val="21"/>
          <w:szCs w:val="21"/>
          <w:lang w:val="en-US" w:eastAsia="zh-CN" w:bidi="ar"/>
        </w:rPr>
        <w:t>震荡</w:t>
      </w:r>
      <w:r>
        <w:rPr>
          <w:rFonts w:ascii="Times New Roman" w:hAnsi="Times New Roman" w:eastAsia="微软雅黑" w:cs="Times New Roman"/>
          <w:color w:val="000000"/>
          <w:kern w:val="0"/>
          <w:sz w:val="21"/>
          <w:szCs w:val="21"/>
          <w:lang w:bidi="ar"/>
        </w:rPr>
        <w:t>孵育</w:t>
      </w:r>
      <w:r>
        <w:rPr>
          <w:rFonts w:hint="eastAsia" w:ascii="Times New Roman" w:hAnsi="Times New Roman" w:eastAsia="微软雅黑" w:cs="Times New Roman"/>
          <w:color w:val="000000"/>
          <w:kern w:val="0"/>
          <w:sz w:val="21"/>
          <w:szCs w:val="21"/>
          <w:lang w:val="en-US" w:eastAsia="zh-CN" w:bidi="ar"/>
        </w:rPr>
        <w:t>60min（1000 rpm）</w:t>
      </w:r>
      <w:r>
        <w:rPr>
          <w:rFonts w:ascii="Times New Roman" w:hAnsi="Times New Roman" w:eastAsia="微软雅黑" w:cs="Times New Roman"/>
          <w:color w:val="000000"/>
          <w:kern w:val="0"/>
          <w:sz w:val="21"/>
          <w:szCs w:val="21"/>
          <w:lang w:bidi="ar"/>
        </w:rPr>
        <w:t>；</w:t>
      </w:r>
    </w:p>
    <w:p w14:paraId="566EAB1C">
      <w:pPr>
        <w:spacing w:line="240" w:lineRule="auto"/>
        <w:rPr>
          <w:rFonts w:ascii="Times New Roman" w:hAnsi="Times New Roman" w:eastAsia="微软雅黑" w:cs="Times New Roman"/>
          <w:color w:val="FF0000"/>
          <w:kern w:val="0"/>
          <w:sz w:val="21"/>
          <w:szCs w:val="21"/>
          <w:lang w:bidi="ar"/>
        </w:rPr>
      </w:pPr>
      <w:bookmarkStart w:id="0" w:name="OLE_LINK4"/>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w:t>
      </w:r>
      <w:bookmarkEnd w:id="0"/>
      <w:r>
        <w:rPr>
          <w:rFonts w:hint="eastAsia" w:ascii="Times New Roman" w:hAnsi="Times New Roman" w:eastAsia="微软雅黑" w:cs="Times New Roman"/>
          <w:color w:val="000000"/>
          <w:kern w:val="0"/>
          <w:sz w:val="21"/>
          <w:szCs w:val="21"/>
          <w:lang w:val="en-US" w:eastAsia="zh-CN" w:bidi="ar"/>
        </w:rPr>
        <w:t xml:space="preserve"> 孵育结束后，样本瞬时离心，然后</w:t>
      </w:r>
      <w:r>
        <w:rPr>
          <w:rFonts w:hint="eastAsia" w:ascii="Times New Roman" w:hAnsi="Times New Roman" w:eastAsia="微软雅黑" w:cs="Times New Roman"/>
          <w:color w:val="000000"/>
          <w:kern w:val="0"/>
          <w:sz w:val="21"/>
          <w:szCs w:val="21"/>
          <w:lang w:bidi="ar"/>
        </w:rPr>
        <w:t>置于磁力架上静置2min，</w:t>
      </w:r>
      <w:r>
        <w:rPr>
          <w:rFonts w:ascii="Times New Roman" w:hAnsi="Times New Roman" w:eastAsia="微软雅黑" w:cs="Times New Roman"/>
          <w:color w:val="000000"/>
          <w:kern w:val="0"/>
          <w:sz w:val="21"/>
          <w:szCs w:val="21"/>
          <w:lang w:bidi="ar"/>
        </w:rPr>
        <w:t>磁分离弃掉上清，加入 300 μL试剂</w:t>
      </w:r>
      <w:r>
        <w:rPr>
          <w:rFonts w:hint="eastAsia" w:ascii="Times New Roman" w:hAnsi="Times New Roman" w:eastAsia="微软雅黑" w:cs="Times New Roman"/>
          <w:color w:val="000000"/>
          <w:kern w:val="0"/>
          <w:sz w:val="21"/>
          <w:szCs w:val="21"/>
          <w:lang w:val="en-US" w:eastAsia="zh-CN" w:bidi="ar"/>
        </w:rPr>
        <w:t>G</w:t>
      </w:r>
      <w:r>
        <w:rPr>
          <w:rFonts w:ascii="Times New Roman" w:hAnsi="Times New Roman" w:eastAsia="微软雅黑" w:cs="Times New Roman"/>
          <w:color w:val="000000"/>
          <w:kern w:val="0"/>
          <w:sz w:val="21"/>
          <w:szCs w:val="21"/>
          <w:lang w:bidi="ar"/>
        </w:rPr>
        <w:t>，震荡清洗</w:t>
      </w:r>
      <w:r>
        <w:rPr>
          <w:rFonts w:hint="eastAsia" w:ascii="Times New Roman" w:hAnsi="Times New Roman" w:eastAsia="微软雅黑" w:cs="Times New Roman"/>
          <w:color w:val="000000"/>
          <w:kern w:val="0"/>
          <w:sz w:val="21"/>
          <w:szCs w:val="21"/>
          <w:lang w:val="en-US" w:eastAsia="zh-CN" w:bidi="ar"/>
        </w:rPr>
        <w:t>5min</w:t>
      </w:r>
      <w:r>
        <w:rPr>
          <w:rFonts w:ascii="Times New Roman" w:hAnsi="Times New Roman" w:eastAsia="微软雅黑" w:cs="Times New Roman"/>
          <w:color w:val="000000"/>
          <w:kern w:val="0"/>
          <w:sz w:val="21"/>
          <w:szCs w:val="21"/>
          <w:lang w:bidi="ar"/>
        </w:rPr>
        <w:t>，重复清洗三次，</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上即为富集到的</w:t>
      </w:r>
      <w:r>
        <w:rPr>
          <w:rFonts w:hint="eastAsia" w:ascii="Times New Roman" w:hAnsi="Times New Roman" w:eastAsia="微软雅黑" w:cs="Times New Roman"/>
          <w:color w:val="000000"/>
          <w:kern w:val="0"/>
          <w:sz w:val="21"/>
          <w:szCs w:val="21"/>
          <w:lang w:val="en-US" w:eastAsia="zh-CN" w:bidi="ar"/>
        </w:rPr>
        <w:t>低丰度</w:t>
      </w:r>
      <w:r>
        <w:rPr>
          <w:rFonts w:ascii="Times New Roman" w:hAnsi="Times New Roman" w:eastAsia="微软雅黑" w:cs="Times New Roman"/>
          <w:color w:val="000000"/>
          <w:kern w:val="0"/>
          <w:sz w:val="21"/>
          <w:szCs w:val="21"/>
          <w:lang w:bidi="ar"/>
        </w:rPr>
        <w:t>蛋白。</w:t>
      </w:r>
      <w:r>
        <w:rPr>
          <w:rFonts w:hint="eastAsia" w:ascii="Times New Roman" w:hAnsi="Times New Roman" w:eastAsia="微软雅黑" w:cs="Times New Roman"/>
          <w:color w:val="FF0000"/>
          <w:kern w:val="0"/>
          <w:sz w:val="21"/>
          <w:szCs w:val="21"/>
          <w:lang w:bidi="ar"/>
        </w:rPr>
        <w:t>（此步骤为关键步骤，建议每次清洗置于恒温混匀仪上1</w:t>
      </w:r>
      <w:r>
        <w:rPr>
          <w:rFonts w:hint="eastAsia" w:ascii="Times New Roman" w:hAnsi="Times New Roman" w:eastAsia="微软雅黑" w:cs="Times New Roman"/>
          <w:color w:val="FF0000"/>
          <w:kern w:val="0"/>
          <w:sz w:val="21"/>
          <w:szCs w:val="21"/>
          <w:lang w:val="en-US" w:eastAsia="zh-CN" w:bidi="ar"/>
        </w:rPr>
        <w:t>0</w:t>
      </w:r>
      <w:r>
        <w:rPr>
          <w:rFonts w:hint="eastAsia" w:ascii="Times New Roman" w:hAnsi="Times New Roman" w:eastAsia="微软雅黑" w:cs="Times New Roman"/>
          <w:color w:val="FF0000"/>
          <w:kern w:val="0"/>
          <w:sz w:val="21"/>
          <w:szCs w:val="21"/>
          <w:lang w:bidi="ar"/>
        </w:rPr>
        <w:t>00rpm震荡清洗5min，确保残留</w:t>
      </w:r>
      <w:r>
        <w:rPr>
          <w:rFonts w:hint="eastAsia" w:ascii="Times New Roman" w:hAnsi="Times New Roman" w:eastAsia="微软雅黑" w:cs="Times New Roman"/>
          <w:color w:val="FF0000"/>
          <w:kern w:val="0"/>
          <w:sz w:val="21"/>
          <w:szCs w:val="21"/>
          <w:lang w:val="en-US" w:eastAsia="zh-CN" w:bidi="ar"/>
        </w:rPr>
        <w:t>的</w:t>
      </w:r>
      <w:r>
        <w:rPr>
          <w:rFonts w:hint="eastAsia" w:ascii="Times New Roman" w:hAnsi="Times New Roman" w:eastAsia="微软雅黑" w:cs="Times New Roman"/>
          <w:color w:val="FF0000"/>
          <w:kern w:val="0"/>
          <w:sz w:val="21"/>
          <w:szCs w:val="21"/>
          <w:lang w:bidi="ar"/>
        </w:rPr>
        <w:t>高丰度蛋白清洗干净）</w:t>
      </w:r>
    </w:p>
    <w:p w14:paraId="7CAB585C">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5.2 蛋白酶解</w:t>
      </w:r>
    </w:p>
    <w:p w14:paraId="53ECF610">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a. 步骤5.1</w:t>
      </w:r>
      <w:r>
        <w:rPr>
          <w:rFonts w:hint="eastAsia" w:ascii="Times New Roman" w:hAnsi="Times New Roman" w:eastAsia="微软雅黑" w:cs="Times New Roman"/>
          <w:color w:val="000000"/>
          <w:kern w:val="0"/>
          <w:sz w:val="21"/>
          <w:szCs w:val="21"/>
          <w:lang w:bidi="ar"/>
        </w:rPr>
        <w:t xml:space="preserve"> </w:t>
      </w:r>
      <w:r>
        <w:rPr>
          <w:rFonts w:hint="eastAsia" w:ascii="Times New Roman" w:hAnsi="Times New Roman" w:eastAsia="微软雅黑" w:cs="Times New Roman"/>
          <w:color w:val="000000"/>
          <w:kern w:val="0"/>
          <w:sz w:val="21"/>
          <w:szCs w:val="21"/>
          <w:lang w:val="en-US" w:eastAsia="zh-CN" w:bidi="ar"/>
        </w:rPr>
        <w:t>c</w:t>
      </w:r>
      <w:r>
        <w:rPr>
          <w:rFonts w:hint="eastAsia" w:ascii="Times New Roman" w:hAnsi="Times New Roman" w:eastAsia="微软雅黑" w:cs="Times New Roman"/>
          <w:color w:val="000000"/>
          <w:kern w:val="0"/>
          <w:sz w:val="21"/>
          <w:szCs w:val="21"/>
          <w:lang w:bidi="ar"/>
        </w:rPr>
        <w:t>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w:t>
      </w:r>
      <w:r>
        <w:rPr>
          <w:rFonts w:hint="eastAsia" w:ascii="Times New Roman" w:hAnsi="Times New Roman" w:eastAsia="微软雅黑" w:cs="Times New Roman"/>
          <w:color w:val="000000"/>
          <w:kern w:val="0"/>
          <w:sz w:val="21"/>
          <w:szCs w:val="21"/>
          <w:lang w:val="en-US" w:eastAsia="zh-CN" w:bidi="ar"/>
        </w:rPr>
        <w:t>6</w:t>
      </w:r>
      <w:r>
        <w:rPr>
          <w:rFonts w:hint="eastAsia" w:ascii="Times New Roman" w:hAnsi="Times New Roman" w:eastAsia="微软雅黑" w:cs="Times New Roman"/>
          <w:color w:val="000000"/>
          <w:kern w:val="0"/>
          <w:sz w:val="21"/>
          <w:szCs w:val="21"/>
          <w:lang w:bidi="ar"/>
        </w:rPr>
        <w:t>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l试剂A，吹打混匀；</w:t>
      </w:r>
    </w:p>
    <w:p w14:paraId="48D78CB1">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b. 95℃加热5min（95℃，1000rpm）；</w:t>
      </w:r>
    </w:p>
    <w:p w14:paraId="2EFBC2F0">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c. 加热结束待样品恢复至室温后，加入</w:t>
      </w:r>
      <w:r>
        <w:rPr>
          <w:rFonts w:hint="eastAsia" w:ascii="Times New Roman" w:hAnsi="Times New Roman" w:eastAsia="微软雅黑" w:cs="Times New Roman"/>
          <w:color w:val="000000"/>
          <w:kern w:val="0"/>
          <w:sz w:val="21"/>
          <w:szCs w:val="21"/>
          <w:lang w:val="en-US" w:eastAsia="zh-CN" w:bidi="ar"/>
        </w:rPr>
        <w:t>15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bidi="ar"/>
        </w:rPr>
        <w:t>2h</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℃，1000rpm）；</w:t>
      </w:r>
    </w:p>
    <w:p w14:paraId="421F621C">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d. 酶解结束后加入</w:t>
      </w:r>
      <w:r>
        <w:rPr>
          <w:rFonts w:hint="eastAsia" w:ascii="Times New Roman" w:hAnsi="Times New Roman" w:eastAsia="微软雅黑" w:cs="Times New Roman"/>
          <w:color w:val="000000"/>
          <w:kern w:val="0"/>
          <w:sz w:val="21"/>
          <w:szCs w:val="21"/>
          <w:lang w:val="en-US" w:eastAsia="zh-CN" w:bidi="ar"/>
        </w:rPr>
        <w:t>4</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，混匀，终止酶解反应，此时会有沉淀出现，20000g离心1min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吸取上清待后续</w:t>
      </w:r>
      <w:r>
        <w:rPr>
          <w:rFonts w:hint="eastAsia" w:ascii="Times New Roman" w:hAnsi="Times New Roman" w:eastAsia="微软雅黑" w:cs="Times New Roman"/>
          <w:color w:val="000000"/>
          <w:kern w:val="0"/>
          <w:sz w:val="21"/>
          <w:szCs w:val="21"/>
          <w:lang w:bidi="ar"/>
        </w:rPr>
        <w:t>脱</w:t>
      </w:r>
      <w:r>
        <w:rPr>
          <w:rFonts w:ascii="Times New Roman" w:hAnsi="Times New Roman" w:eastAsia="微软雅黑" w:cs="Times New Roman"/>
          <w:color w:val="000000"/>
          <w:kern w:val="0"/>
          <w:sz w:val="21"/>
          <w:szCs w:val="21"/>
          <w:lang w:bidi="ar"/>
        </w:rPr>
        <w:t>盐。</w:t>
      </w:r>
    </w:p>
    <w:p w14:paraId="74C2403F">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5.3 肽段脱盐</w:t>
      </w:r>
    </w:p>
    <w:p w14:paraId="03BBE7CF">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脱盐柱活化：100μl甲醇加入到脱盐柱中，700g离心1min；</w:t>
      </w:r>
    </w:p>
    <w:p w14:paraId="1F011C51">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脱盐柱去杂质：100μl Condition buffer加入到脱盐柱中，700g离心1min；</w:t>
      </w:r>
    </w:p>
    <w:p w14:paraId="4BD886C9">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脱盐柱平衡：100μl Wash buffer加入到脱盐柱中，700g离心1min；</w:t>
      </w:r>
    </w:p>
    <w:p w14:paraId="1259A2CF">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加载样本：将样本全部加载到脱盐柱中，700g离心1min，重复操作一次；</w:t>
      </w:r>
      <w:r>
        <w:rPr>
          <w:rFonts w:ascii="Times New Roman" w:hAnsi="Times New Roman" w:eastAsia="微软雅黑" w:cs="Times New Roman"/>
          <w:color w:val="FF0000"/>
          <w:kern w:val="0"/>
          <w:sz w:val="21"/>
          <w:szCs w:val="21"/>
          <w:lang w:bidi="ar"/>
        </w:rPr>
        <w:t>（</w:t>
      </w:r>
      <w:r>
        <w:rPr>
          <w:rFonts w:hint="eastAsia" w:ascii="Times New Roman" w:hAnsi="Times New Roman" w:eastAsia="微软雅黑" w:cs="Times New Roman"/>
          <w:color w:val="FF0000"/>
          <w:kern w:val="0"/>
          <w:sz w:val="21"/>
          <w:szCs w:val="21"/>
          <w:lang w:val="en-US" w:eastAsia="zh-CN" w:bidi="ar"/>
        </w:rPr>
        <w:t>加载样本前确保pH &lt; 3</w:t>
      </w:r>
      <w:r>
        <w:rPr>
          <w:rFonts w:ascii="Times New Roman" w:hAnsi="Times New Roman" w:eastAsia="微软雅黑" w:cs="Times New Roman"/>
          <w:color w:val="FF0000"/>
          <w:kern w:val="0"/>
          <w:sz w:val="21"/>
          <w:szCs w:val="21"/>
          <w:lang w:bidi="ar"/>
        </w:rPr>
        <w:t>，可</w:t>
      </w:r>
      <w:r>
        <w:rPr>
          <w:rFonts w:hint="eastAsia" w:ascii="Times New Roman" w:hAnsi="Times New Roman" w:eastAsia="微软雅黑" w:cs="Times New Roman"/>
          <w:color w:val="FF0000"/>
          <w:kern w:val="0"/>
          <w:sz w:val="21"/>
          <w:szCs w:val="21"/>
          <w:lang w:bidi="ar"/>
        </w:rPr>
        <w:t>使用20%TFA</w:t>
      </w:r>
      <w:r>
        <w:rPr>
          <w:rFonts w:ascii="Times New Roman" w:hAnsi="Times New Roman" w:eastAsia="微软雅黑" w:cs="Times New Roman"/>
          <w:color w:val="FF0000"/>
          <w:kern w:val="0"/>
          <w:sz w:val="21"/>
          <w:szCs w:val="21"/>
          <w:lang w:bidi="ar"/>
        </w:rPr>
        <w:t>调pH＜3后加载样本）</w:t>
      </w:r>
    </w:p>
    <w:p w14:paraId="501FD068">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脱盐柱清洗：100μl Wash buffer加入到脱盐柱中，700g离心1min，重复操作一次；</w:t>
      </w:r>
    </w:p>
    <w:p w14:paraId="01AD8492">
      <w:pPr>
        <w:widowControl/>
        <w:numPr>
          <w:ilvl w:val="0"/>
          <w:numId w:val="3"/>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样本洗脱：</w:t>
      </w:r>
      <w:r>
        <w:rPr>
          <w:rFonts w:hint="eastAsia" w:ascii="Times New Roman" w:hAnsi="Times New Roman" w:eastAsia="微软雅黑" w:cs="Times New Roman"/>
          <w:color w:val="000000"/>
          <w:kern w:val="0"/>
          <w:sz w:val="21"/>
          <w:szCs w:val="21"/>
          <w:lang w:val="en-US" w:eastAsia="zh-CN" w:bidi="ar"/>
        </w:rPr>
        <w:t>5</w:t>
      </w:r>
      <w:r>
        <w:rPr>
          <w:rFonts w:ascii="Times New Roman" w:hAnsi="Times New Roman" w:eastAsia="微软雅黑" w:cs="Times New Roman"/>
          <w:color w:val="000000"/>
          <w:kern w:val="0"/>
          <w:sz w:val="21"/>
          <w:szCs w:val="21"/>
          <w:lang w:bidi="ar"/>
        </w:rPr>
        <w:t>0μl Elution buffer加入到脱盐柱中，700g离心1min，洗脱两次，最终样本体积为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p>
    <w:p w14:paraId="33EF386C">
      <w:pPr>
        <w:widowControl/>
        <w:numPr>
          <w:ilvl w:val="0"/>
          <w:numId w:val="3"/>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真空冷冻离心浓缩仪浓缩样本。</w:t>
      </w:r>
    </w:p>
    <w:p w14:paraId="71BDECE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6. 注意事项</w:t>
      </w:r>
    </w:p>
    <w:p w14:paraId="39905C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）放置10min，待结晶重新溶解后混合均匀使用；</w:t>
      </w:r>
    </w:p>
    <w:p w14:paraId="4F16AD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0B3E6D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0C6701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0F4009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766067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4A36CD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4BCE0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226" w:hRule="atLeast"/>
        </w:trPr>
        <w:tc>
          <w:tcPr>
            <w:tcW w:w="6071" w:type="dxa"/>
          </w:tcPr>
          <w:p w14:paraId="67394202">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6"/>
                          <a:stretch>
                            <a:fillRect/>
                          </a:stretch>
                        </pic:blipFill>
                        <pic:spPr>
                          <a:xfrm>
                            <a:off x="0" y="0"/>
                            <a:ext cx="666115" cy="666115"/>
                          </a:xfrm>
                          <a:prstGeom prst="rect">
                            <a:avLst/>
                          </a:prstGeom>
                        </pic:spPr>
                      </pic:pic>
                    </a:graphicData>
                  </a:graphic>
                </wp:inline>
              </w:drawing>
            </w:r>
          </w:p>
        </w:tc>
        <w:tc>
          <w:tcPr>
            <w:tcW w:w="2451" w:type="dxa"/>
            <w:vAlign w:val="center"/>
          </w:tcPr>
          <w:p w14:paraId="0D9641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0C2268D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16403410">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7B69D931">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800" w:bottom="1440" w:left="1800"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06653">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DCADF4">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4DDCADF4">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E6BD1">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CE045B9A"/>
    <w:multiLevelType w:val="singleLevel"/>
    <w:tmpl w:val="CE045B9A"/>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4YmNkZmRlYjBiN2M4ZDRmNzYzMGZmOWM0MjNiYzQifQ=="/>
  </w:docVars>
  <w:rsids>
    <w:rsidRoot w:val="00000000"/>
    <w:rsid w:val="0948340B"/>
    <w:rsid w:val="0F56003F"/>
    <w:rsid w:val="13AC0DFB"/>
    <w:rsid w:val="14C82055"/>
    <w:rsid w:val="15F159C8"/>
    <w:rsid w:val="1B2561E0"/>
    <w:rsid w:val="1B63383F"/>
    <w:rsid w:val="1BAF4D2D"/>
    <w:rsid w:val="1EFC5E1C"/>
    <w:rsid w:val="1FD012F9"/>
    <w:rsid w:val="239D478B"/>
    <w:rsid w:val="29F42CF2"/>
    <w:rsid w:val="2FFA371C"/>
    <w:rsid w:val="30E64D81"/>
    <w:rsid w:val="344F3FA7"/>
    <w:rsid w:val="38012D60"/>
    <w:rsid w:val="3B964609"/>
    <w:rsid w:val="3D2C6E4B"/>
    <w:rsid w:val="3F8F6DDC"/>
    <w:rsid w:val="3FA3534A"/>
    <w:rsid w:val="41412BA9"/>
    <w:rsid w:val="42F655C2"/>
    <w:rsid w:val="4605689B"/>
    <w:rsid w:val="4C886703"/>
    <w:rsid w:val="52A5300F"/>
    <w:rsid w:val="54100711"/>
    <w:rsid w:val="60A74B67"/>
    <w:rsid w:val="63F70CE7"/>
    <w:rsid w:val="65E53D5C"/>
    <w:rsid w:val="6AEC1C54"/>
    <w:rsid w:val="6CEA7F87"/>
    <w:rsid w:val="6E90281E"/>
    <w:rsid w:val="7151411F"/>
    <w:rsid w:val="75C43A70"/>
    <w:rsid w:val="762A7D90"/>
    <w:rsid w:val="76746B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jpeg"/><Relationship Id="rId15" Type="http://schemas.openxmlformats.org/officeDocument/2006/relationships/image" Target="media/image12.png"/><Relationship Id="rId14" Type="http://schemas.openxmlformats.org/officeDocument/2006/relationships/image" Target="media/image11.sv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1582</Words>
  <Characters>2205</Characters>
  <Lines>0</Lines>
  <Paragraphs>0</Paragraphs>
  <TotalTime>0</TotalTime>
  <ScaleCrop>false</ScaleCrop>
  <LinksUpToDate>false</LinksUpToDate>
  <CharactersWithSpaces>2306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cp:lastPrinted>2024-09-28T07:59:00Z</cp:lastPrinted>
  <dcterms:modified xsi:type="dcterms:W3CDTF">2026-06-09T01:22:22Z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C763E295A2D3423DAAA49419EA1E5A08_13</vt:lpwstr>
  </property>
  <property fmtid="{D5CDD505-2E9C-101B-9397-08002B2CF9AE}" pid="4" name="KSOTemplateDocerSaveRecord">
    <vt:lpwstr>eyJoZGlkIjoiNGE4MmJmZWM4N2NmNzM0ODc5NTJkMGZhNzZhNmI2ZDgiLCJ1c2VySWQiOiI2OTYyMTYzMjYifQ==</vt:lpwstr>
  </property>
</Properties>
</file>