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1.svg" ContentType="image/svg+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951D1">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易肽DeeP低丰度蛋白富集及前处理制备试剂盒</w:t>
      </w:r>
    </w:p>
    <w:p w14:paraId="1FBA6765">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货号：OSFP0002  规格：96x  版本号：V20260609DH</w:t>
      </w:r>
    </w:p>
    <w:p w14:paraId="0FD61067">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718"/>
        <w:gridCol w:w="898"/>
      </w:tblGrid>
      <w:tr w14:paraId="3AD43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04FA678F">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88" w:type="pct"/>
            <w:tcBorders>
              <w:top w:val="single" w:color="auto" w:sz="6" w:space="0"/>
              <w:bottom w:val="single" w:color="auto" w:sz="6" w:space="0"/>
            </w:tcBorders>
            <w:vAlign w:val="center"/>
          </w:tcPr>
          <w:p w14:paraId="7AD43989">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768" w:type="pct"/>
            <w:tcBorders>
              <w:top w:val="single" w:color="auto" w:sz="6" w:space="0"/>
              <w:bottom w:val="single" w:color="auto" w:sz="6" w:space="0"/>
            </w:tcBorders>
            <w:vAlign w:val="center"/>
          </w:tcPr>
          <w:p w14:paraId="4B8EAADA">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527" w:type="pct"/>
            <w:tcBorders>
              <w:top w:val="single" w:color="auto" w:sz="6" w:space="0"/>
              <w:bottom w:val="single" w:color="auto" w:sz="6" w:space="0"/>
            </w:tcBorders>
            <w:vAlign w:val="center"/>
          </w:tcPr>
          <w:p w14:paraId="349958D9">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7A30C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FE825F2">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试剂A </w:t>
            </w:r>
            <w:r>
              <w:rPr>
                <w:rFonts w:hint="eastAsia" w:ascii="微软雅黑" w:hAnsi="微软雅黑" w:eastAsia="微软雅黑" w:cs="微软雅黑"/>
                <w:color w:val="843C0B" w:themeColor="accent2" w:themeShade="80"/>
                <w:sz w:val="18"/>
                <w:szCs w:val="18"/>
              </w:rPr>
              <w:t>●</w:t>
            </w:r>
          </w:p>
        </w:tc>
        <w:tc>
          <w:tcPr>
            <w:tcW w:w="888" w:type="pct"/>
            <w:tcBorders>
              <w:top w:val="nil"/>
              <w:bottom w:val="nil"/>
            </w:tcBorders>
            <w:vAlign w:val="center"/>
          </w:tcPr>
          <w:p w14:paraId="39A742C7">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w:t>
            </w:r>
            <w:r>
              <w:rPr>
                <w:rFonts w:hint="eastAsia" w:ascii="微软雅黑" w:hAnsi="微软雅黑" w:eastAsia="微软雅黑" w:cs="微软雅黑"/>
                <w:sz w:val="18"/>
                <w:szCs w:val="18"/>
              </w:rPr>
              <w:t>0</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12</w:t>
            </w:r>
          </w:p>
        </w:tc>
        <w:tc>
          <w:tcPr>
            <w:tcW w:w="2768" w:type="pct"/>
            <w:tcBorders>
              <w:top w:val="nil"/>
              <w:bottom w:val="nil"/>
            </w:tcBorders>
            <w:vAlign w:val="center"/>
          </w:tcPr>
          <w:p w14:paraId="3356D67F">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还原烷基化，蛋白质还原烷基化</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也可用于蛋白裂解</w:t>
            </w:r>
          </w:p>
        </w:tc>
        <w:tc>
          <w:tcPr>
            <w:tcW w:w="527" w:type="pct"/>
            <w:tcBorders>
              <w:top w:val="nil"/>
              <w:bottom w:val="nil"/>
            </w:tcBorders>
            <w:vAlign w:val="center"/>
          </w:tcPr>
          <w:p w14:paraId="0AD7A4E2">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4D9BE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391832EF">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B</w:t>
            </w:r>
            <w:r>
              <w:rPr>
                <w:rFonts w:hint="eastAsia" w:ascii="微软雅黑" w:hAnsi="微软雅黑" w:eastAsia="微软雅黑" w:cs="微软雅黑"/>
                <w:sz w:val="18"/>
                <w:szCs w:val="18"/>
              </w:rPr>
              <w:t xml:space="preserve"> </w:t>
            </w:r>
            <w:r>
              <w:rPr>
                <w:rFonts w:hint="eastAsia" w:ascii="微软雅黑" w:hAnsi="微软雅黑" w:eastAsia="微软雅黑" w:cs="微软雅黑"/>
                <w:color w:val="FF0000"/>
                <w:sz w:val="18"/>
                <w:szCs w:val="18"/>
              </w:rPr>
              <w:t>●</w:t>
            </w:r>
          </w:p>
        </w:tc>
        <w:tc>
          <w:tcPr>
            <w:tcW w:w="888" w:type="pct"/>
            <w:tcBorders>
              <w:top w:val="nil"/>
              <w:bottom w:val="nil"/>
            </w:tcBorders>
            <w:vAlign w:val="center"/>
          </w:tcPr>
          <w:p w14:paraId="5FD2B0CC">
            <w:pPr>
              <w:spacing w:line="360" w:lineRule="auto"/>
              <w:jc w:val="cente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 xml:space="preserve">140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2768" w:type="pct"/>
            <w:tcBorders>
              <w:top w:val="nil"/>
              <w:bottom w:val="nil"/>
            </w:tcBorders>
            <w:vAlign w:val="center"/>
          </w:tcPr>
          <w:p w14:paraId="44A757AE">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酶，蛋白酶解</w:t>
            </w:r>
          </w:p>
        </w:tc>
        <w:tc>
          <w:tcPr>
            <w:tcW w:w="527" w:type="pct"/>
            <w:tcBorders>
              <w:top w:val="nil"/>
              <w:bottom w:val="nil"/>
            </w:tcBorders>
            <w:vAlign w:val="center"/>
          </w:tcPr>
          <w:p w14:paraId="0FBB4C8E">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37734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7F32137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C</w:t>
            </w:r>
            <w:r>
              <w:rPr>
                <w:rFonts w:hint="eastAsia" w:ascii="微软雅黑" w:hAnsi="微软雅黑" w:eastAsia="微软雅黑" w:cs="微软雅黑"/>
                <w:sz w:val="18"/>
                <w:szCs w:val="18"/>
              </w:rPr>
              <w:t xml:space="preserve"> ●</w:t>
            </w:r>
          </w:p>
        </w:tc>
        <w:tc>
          <w:tcPr>
            <w:tcW w:w="888" w:type="pct"/>
            <w:tcBorders>
              <w:top w:val="nil"/>
              <w:bottom w:val="nil"/>
            </w:tcBorders>
            <w:vAlign w:val="center"/>
          </w:tcPr>
          <w:p w14:paraId="670FD655">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40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12</w:t>
            </w:r>
          </w:p>
        </w:tc>
        <w:tc>
          <w:tcPr>
            <w:tcW w:w="2768" w:type="pct"/>
            <w:tcBorders>
              <w:top w:val="nil"/>
              <w:bottom w:val="nil"/>
            </w:tcBorders>
            <w:vAlign w:val="center"/>
          </w:tcPr>
          <w:p w14:paraId="6A104817">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终止试剂，终止酶解反应</w:t>
            </w:r>
          </w:p>
        </w:tc>
        <w:tc>
          <w:tcPr>
            <w:tcW w:w="527" w:type="pct"/>
            <w:tcBorders>
              <w:top w:val="nil"/>
              <w:bottom w:val="nil"/>
            </w:tcBorders>
            <w:vAlign w:val="center"/>
          </w:tcPr>
          <w:p w14:paraId="11745DDD">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常温</w:t>
            </w:r>
          </w:p>
        </w:tc>
      </w:tr>
      <w:tr w14:paraId="0DC34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251AC8E9">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试剂G </w:t>
            </w:r>
            <w:r>
              <w:rPr>
                <w:rFonts w:hint="eastAsia" w:ascii="微软雅黑" w:hAnsi="微软雅黑" w:eastAsia="微软雅黑" w:cs="微软雅黑"/>
                <w:color w:val="7030A0"/>
                <w:sz w:val="18"/>
                <w:szCs w:val="18"/>
              </w:rPr>
              <w:t>●</w:t>
            </w:r>
          </w:p>
        </w:tc>
        <w:tc>
          <w:tcPr>
            <w:tcW w:w="888" w:type="pct"/>
            <w:tcBorders>
              <w:top w:val="nil"/>
              <w:bottom w:val="nil"/>
            </w:tcBorders>
            <w:vAlign w:val="center"/>
          </w:tcPr>
          <w:p w14:paraId="3759D809">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120 </w:t>
            </w:r>
            <w:r>
              <w:rPr>
                <w:rFonts w:hint="eastAsia" w:ascii="微软雅黑" w:hAnsi="微软雅黑" w:eastAsia="微软雅黑" w:cs="微软雅黑"/>
                <w:sz w:val="18"/>
                <w:szCs w:val="18"/>
              </w:rPr>
              <w:t>ml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1</w:t>
            </w:r>
          </w:p>
        </w:tc>
        <w:tc>
          <w:tcPr>
            <w:tcW w:w="2768" w:type="pct"/>
            <w:tcBorders>
              <w:top w:val="nil"/>
              <w:bottom w:val="nil"/>
            </w:tcBorders>
            <w:vAlign w:val="center"/>
          </w:tcPr>
          <w:p w14:paraId="7145429C">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磁性微粒清洗液</w:t>
            </w:r>
          </w:p>
        </w:tc>
        <w:tc>
          <w:tcPr>
            <w:tcW w:w="527" w:type="pct"/>
            <w:tcBorders>
              <w:top w:val="nil"/>
              <w:bottom w:val="nil"/>
            </w:tcBorders>
            <w:vAlign w:val="center"/>
          </w:tcPr>
          <w:p w14:paraId="4146F186">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r>
      <w:tr w14:paraId="2EE03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22ED1DA2">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 xml:space="preserve">H </w:t>
            </w:r>
            <w:r>
              <w:rPr>
                <w:rFonts w:hint="eastAsia" w:ascii="微软雅黑" w:hAnsi="微软雅黑" w:eastAsia="微软雅黑" w:cs="微软雅黑"/>
                <w:color w:val="FFC000"/>
                <w:sz w:val="18"/>
                <w:szCs w:val="18"/>
              </w:rPr>
              <w:t>●</w:t>
            </w:r>
          </w:p>
        </w:tc>
        <w:tc>
          <w:tcPr>
            <w:tcW w:w="888" w:type="pct"/>
            <w:tcBorders>
              <w:top w:val="nil"/>
              <w:bottom w:val="nil"/>
            </w:tcBorders>
            <w:vAlign w:val="center"/>
          </w:tcPr>
          <w:p w14:paraId="6EAB2232">
            <w:pPr>
              <w:spacing w:line="360" w:lineRule="auto"/>
              <w:jc w:val="cente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1.7 m</w:t>
            </w:r>
            <w:r>
              <w:rPr>
                <w:rFonts w:hint="eastAsia" w:ascii="微软雅黑" w:hAnsi="微软雅黑" w:eastAsia="微软雅黑" w:cs="微软雅黑"/>
                <w:sz w:val="18"/>
                <w:szCs w:val="18"/>
              </w:rPr>
              <w:t>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6</w:t>
            </w:r>
          </w:p>
        </w:tc>
        <w:tc>
          <w:tcPr>
            <w:tcW w:w="2768" w:type="pct"/>
            <w:tcBorders>
              <w:top w:val="nil"/>
              <w:bottom w:val="nil"/>
            </w:tcBorders>
            <w:vAlign w:val="center"/>
          </w:tcPr>
          <w:p w14:paraId="233DB75D">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磁性</w:t>
            </w:r>
            <w:r>
              <w:rPr>
                <w:rFonts w:hint="eastAsia" w:ascii="微软雅黑" w:hAnsi="微软雅黑" w:eastAsia="微软雅黑" w:cs="微软雅黑"/>
                <w:sz w:val="18"/>
                <w:szCs w:val="18"/>
                <w:lang w:val="en-US" w:eastAsia="zh-CN"/>
              </w:rPr>
              <w:t>微粒</w:t>
            </w:r>
            <w:r>
              <w:rPr>
                <w:rFonts w:hint="eastAsia" w:ascii="微软雅黑" w:hAnsi="微软雅黑" w:eastAsia="微软雅黑" w:cs="微软雅黑"/>
                <w:sz w:val="18"/>
                <w:szCs w:val="18"/>
              </w:rPr>
              <w:t>悬液</w:t>
            </w:r>
          </w:p>
        </w:tc>
        <w:tc>
          <w:tcPr>
            <w:tcW w:w="527" w:type="pct"/>
            <w:tcBorders>
              <w:top w:val="nil"/>
              <w:bottom w:val="nil"/>
            </w:tcBorders>
            <w:vAlign w:val="center"/>
          </w:tcPr>
          <w:p w14:paraId="7132D296">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r>
      <w:tr w14:paraId="5C589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EA5CD7B">
            <w:pPr>
              <w:spacing w:line="360" w:lineRule="auto"/>
              <w:jc w:val="center"/>
              <w:rPr>
                <w:rFonts w:hint="eastAsia" w:ascii="微软雅黑" w:hAnsi="微软雅黑" w:eastAsia="微软雅黑" w:cs="微软雅黑"/>
                <w:kern w:val="2"/>
                <w:sz w:val="18"/>
                <w:szCs w:val="18"/>
                <w:lang w:val="en-US" w:eastAsia="zh-CN" w:bidi="ar-SA"/>
              </w:rPr>
            </w:pPr>
            <w:r>
              <w:rPr>
                <w:rFonts w:hint="default" w:ascii="Times New Roman" w:hAnsi="Times New Roman" w:eastAsia="微软雅黑" w:cs="Times New Roman"/>
                <w:b w:val="0"/>
                <w:bCs w:val="0"/>
                <w:sz w:val="21"/>
                <w:szCs w:val="21"/>
                <w:vertAlign w:val="baseline"/>
                <w:lang w:val="en-US" w:eastAsia="zh-CN"/>
              </w:rPr>
              <w:t>Cartridge</w:t>
            </w:r>
          </w:p>
        </w:tc>
        <w:tc>
          <w:tcPr>
            <w:tcW w:w="888" w:type="pct"/>
            <w:tcBorders>
              <w:top w:val="nil"/>
              <w:bottom w:val="nil"/>
            </w:tcBorders>
            <w:vAlign w:val="center"/>
          </w:tcPr>
          <w:p w14:paraId="04E733B5">
            <w:pPr>
              <w:spacing w:line="360" w:lineRule="auto"/>
              <w:jc w:val="center"/>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20μg载量</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96</w:t>
            </w:r>
          </w:p>
        </w:tc>
        <w:tc>
          <w:tcPr>
            <w:tcW w:w="2768" w:type="pct"/>
            <w:tcBorders>
              <w:top w:val="nil"/>
              <w:bottom w:val="nil"/>
            </w:tcBorders>
            <w:vAlign w:val="center"/>
          </w:tcPr>
          <w:p w14:paraId="60A06AF5">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肽段脱盐</w:t>
            </w:r>
          </w:p>
        </w:tc>
        <w:tc>
          <w:tcPr>
            <w:tcW w:w="527" w:type="pct"/>
            <w:tcBorders>
              <w:top w:val="nil"/>
              <w:bottom w:val="nil"/>
            </w:tcBorders>
            <w:vAlign w:val="center"/>
          </w:tcPr>
          <w:p w14:paraId="4EB4B2C4">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r w14:paraId="6173F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5D360F47">
            <w:pPr>
              <w:spacing w:line="360" w:lineRule="auto"/>
              <w:jc w:val="both"/>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 xml:space="preserve">    S板</w:t>
            </w:r>
          </w:p>
        </w:tc>
        <w:tc>
          <w:tcPr>
            <w:tcW w:w="888" w:type="pct"/>
            <w:tcBorders>
              <w:top w:val="nil"/>
              <w:bottom w:val="nil"/>
            </w:tcBorders>
            <w:vAlign w:val="center"/>
          </w:tcPr>
          <w:p w14:paraId="7D489A82">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1（96X）</w:t>
            </w:r>
          </w:p>
        </w:tc>
        <w:tc>
          <w:tcPr>
            <w:tcW w:w="2768" w:type="pct"/>
            <w:tcBorders>
              <w:top w:val="nil"/>
              <w:bottom w:val="nil"/>
            </w:tcBorders>
            <w:vAlign w:val="center"/>
          </w:tcPr>
          <w:p w14:paraId="11DC5F7F">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用于样品的还原烷基化、酶解</w:t>
            </w:r>
          </w:p>
        </w:tc>
        <w:tc>
          <w:tcPr>
            <w:tcW w:w="527" w:type="pct"/>
            <w:tcBorders>
              <w:top w:val="nil"/>
              <w:bottom w:val="nil"/>
            </w:tcBorders>
            <w:vAlign w:val="center"/>
          </w:tcPr>
          <w:p w14:paraId="409E9788">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常温</w:t>
            </w:r>
          </w:p>
        </w:tc>
      </w:tr>
      <w:tr w14:paraId="2D217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68DFC3A">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Waste 板</w:t>
            </w:r>
          </w:p>
        </w:tc>
        <w:tc>
          <w:tcPr>
            <w:tcW w:w="888" w:type="pct"/>
            <w:tcBorders>
              <w:top w:val="nil"/>
              <w:bottom w:val="nil"/>
            </w:tcBorders>
            <w:vAlign w:val="center"/>
          </w:tcPr>
          <w:p w14:paraId="013A9EA1">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1（96X）</w:t>
            </w:r>
          </w:p>
        </w:tc>
        <w:tc>
          <w:tcPr>
            <w:tcW w:w="2768" w:type="pct"/>
            <w:tcBorders>
              <w:top w:val="nil"/>
              <w:bottom w:val="nil"/>
            </w:tcBorders>
            <w:vAlign w:val="center"/>
          </w:tcPr>
          <w:p w14:paraId="4693118B">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脱盐废液收集</w:t>
            </w:r>
          </w:p>
        </w:tc>
        <w:tc>
          <w:tcPr>
            <w:tcW w:w="527" w:type="pct"/>
            <w:tcBorders>
              <w:top w:val="nil"/>
              <w:bottom w:val="nil"/>
            </w:tcBorders>
            <w:vAlign w:val="center"/>
          </w:tcPr>
          <w:p w14:paraId="7410D744">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常温</w:t>
            </w:r>
          </w:p>
        </w:tc>
      </w:tr>
      <w:tr w14:paraId="4248F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7475A3DA">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Collection 板</w:t>
            </w:r>
          </w:p>
        </w:tc>
        <w:tc>
          <w:tcPr>
            <w:tcW w:w="888" w:type="pct"/>
            <w:tcBorders>
              <w:top w:val="nil"/>
              <w:bottom w:val="nil"/>
            </w:tcBorders>
            <w:vAlign w:val="center"/>
          </w:tcPr>
          <w:p w14:paraId="144F002F">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1（96X）</w:t>
            </w:r>
          </w:p>
        </w:tc>
        <w:tc>
          <w:tcPr>
            <w:tcW w:w="2768" w:type="pct"/>
            <w:tcBorders>
              <w:top w:val="nil"/>
              <w:bottom w:val="nil"/>
            </w:tcBorders>
            <w:vAlign w:val="center"/>
          </w:tcPr>
          <w:p w14:paraId="6656B882">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洗脱肽段收集</w:t>
            </w:r>
          </w:p>
        </w:tc>
        <w:tc>
          <w:tcPr>
            <w:tcW w:w="527" w:type="pct"/>
            <w:tcBorders>
              <w:top w:val="nil"/>
              <w:bottom w:val="nil"/>
            </w:tcBorders>
            <w:vAlign w:val="center"/>
          </w:tcPr>
          <w:p w14:paraId="618E4D2B">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sz w:val="18"/>
                <w:szCs w:val="18"/>
                <w:lang w:val="en-US" w:eastAsia="zh-CN"/>
              </w:rPr>
              <w:t>常温</w:t>
            </w:r>
          </w:p>
        </w:tc>
      </w:tr>
      <w:tr w14:paraId="6FC5A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1614874">
            <w:pPr>
              <w:spacing w:line="360" w:lineRule="auto"/>
              <w:jc w:val="center"/>
              <w:rPr>
                <w:rFonts w:hint="eastAsia" w:ascii="微软雅黑" w:hAnsi="微软雅黑" w:eastAsia="微软雅黑" w:cs="微软雅黑"/>
                <w:sz w:val="18"/>
                <w:szCs w:val="18"/>
              </w:rPr>
            </w:pPr>
            <w:r>
              <w:rPr>
                <w:rFonts w:hint="eastAsia" w:ascii="Times New Roman" w:hAnsi="Times New Roman" w:eastAsia="微软雅黑" w:cs="Times New Roman"/>
                <w:sz w:val="18"/>
                <w:szCs w:val="18"/>
                <w:lang w:val="en-US" w:eastAsia="zh-CN"/>
              </w:rPr>
              <w:t>封口膜</w:t>
            </w:r>
          </w:p>
        </w:tc>
        <w:tc>
          <w:tcPr>
            <w:tcW w:w="888" w:type="pct"/>
            <w:tcBorders>
              <w:top w:val="nil"/>
              <w:bottom w:val="nil"/>
            </w:tcBorders>
            <w:vAlign w:val="center"/>
          </w:tcPr>
          <w:p w14:paraId="52084E53">
            <w:pPr>
              <w:spacing w:line="360" w:lineRule="auto"/>
              <w:jc w:val="center"/>
              <w:rPr>
                <w:rFonts w:hint="eastAsia" w:ascii="微软雅黑" w:hAnsi="微软雅黑" w:eastAsia="微软雅黑" w:cs="微软雅黑"/>
                <w:sz w:val="18"/>
                <w:szCs w:val="18"/>
              </w:rPr>
            </w:pPr>
            <w:r>
              <w:rPr>
                <w:rFonts w:hint="eastAsia" w:ascii="Times New Roman" w:hAnsi="Times New Roman" w:eastAsia="微软雅黑" w:cs="Times New Roman"/>
                <w:sz w:val="18"/>
                <w:szCs w:val="18"/>
                <w:lang w:val="en-US" w:eastAsia="zh-CN"/>
              </w:rPr>
              <w:t>1</w:t>
            </w:r>
          </w:p>
        </w:tc>
        <w:tc>
          <w:tcPr>
            <w:tcW w:w="2768" w:type="pct"/>
            <w:tcBorders>
              <w:top w:val="nil"/>
              <w:bottom w:val="nil"/>
            </w:tcBorders>
            <w:vAlign w:val="center"/>
          </w:tcPr>
          <w:p w14:paraId="57DF8B8E">
            <w:pPr>
              <w:spacing w:line="360" w:lineRule="auto"/>
              <w:jc w:val="center"/>
              <w:rPr>
                <w:rFonts w:hint="eastAsia" w:ascii="微软雅黑" w:hAnsi="微软雅黑" w:eastAsia="微软雅黑" w:cs="微软雅黑"/>
                <w:sz w:val="18"/>
                <w:szCs w:val="18"/>
              </w:rPr>
            </w:pPr>
            <w:r>
              <w:rPr>
                <w:rFonts w:hint="default" w:ascii="Times New Roman" w:hAnsi="Times New Roman" w:eastAsia="微软雅黑" w:cs="Times New Roman"/>
                <w:b w:val="0"/>
                <w:bCs w:val="0"/>
                <w:sz w:val="18"/>
                <w:szCs w:val="18"/>
                <w:vertAlign w:val="baseline"/>
                <w:lang w:val="en-US" w:eastAsia="zh-CN"/>
              </w:rPr>
              <w:t>96孔板封口</w:t>
            </w:r>
          </w:p>
        </w:tc>
        <w:tc>
          <w:tcPr>
            <w:tcW w:w="527" w:type="pct"/>
            <w:tcBorders>
              <w:top w:val="nil"/>
              <w:bottom w:val="nil"/>
            </w:tcBorders>
            <w:vAlign w:val="center"/>
          </w:tcPr>
          <w:p w14:paraId="0C7F8C63">
            <w:pPr>
              <w:spacing w:line="360" w:lineRule="auto"/>
              <w:jc w:val="center"/>
              <w:rPr>
                <w:rFonts w:hint="eastAsia" w:ascii="微软雅黑" w:hAnsi="微软雅黑" w:eastAsia="微软雅黑" w:cs="微软雅黑"/>
                <w:sz w:val="18"/>
                <w:szCs w:val="18"/>
              </w:rPr>
            </w:pPr>
            <w:r>
              <w:rPr>
                <w:rFonts w:hint="eastAsia" w:ascii="Times New Roman" w:hAnsi="Times New Roman" w:eastAsia="微软雅黑" w:cs="Times New Roman"/>
                <w:sz w:val="18"/>
                <w:szCs w:val="18"/>
                <w:lang w:val="en-US" w:eastAsia="zh-CN"/>
              </w:rPr>
              <w:t>常温</w:t>
            </w:r>
          </w:p>
        </w:tc>
      </w:tr>
      <w:tr w14:paraId="48B98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single" w:color="auto" w:sz="4" w:space="0"/>
            </w:tcBorders>
            <w:vAlign w:val="center"/>
          </w:tcPr>
          <w:p w14:paraId="08221B65">
            <w:pPr>
              <w:spacing w:line="360" w:lineRule="auto"/>
              <w:jc w:val="center"/>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Adaptor</w:t>
            </w:r>
          </w:p>
        </w:tc>
        <w:tc>
          <w:tcPr>
            <w:tcW w:w="888" w:type="pct"/>
            <w:tcBorders>
              <w:top w:val="nil"/>
              <w:bottom w:val="single" w:color="auto" w:sz="4" w:space="0"/>
            </w:tcBorders>
            <w:vAlign w:val="center"/>
          </w:tcPr>
          <w:p w14:paraId="33CCADF2">
            <w:pPr>
              <w:spacing w:line="360" w:lineRule="auto"/>
              <w:jc w:val="center"/>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2768" w:type="pct"/>
            <w:tcBorders>
              <w:top w:val="nil"/>
              <w:bottom w:val="single" w:color="auto" w:sz="4" w:space="0"/>
            </w:tcBorders>
            <w:vAlign w:val="center"/>
          </w:tcPr>
          <w:p w14:paraId="21E9F7F4">
            <w:pPr>
              <w:spacing w:line="360" w:lineRule="auto"/>
              <w:jc w:val="center"/>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sz w:val="18"/>
                <w:szCs w:val="18"/>
                <w:lang w:val="en-US" w:eastAsia="zh-CN"/>
              </w:rPr>
              <w:t>96孔板除盐适配器</w:t>
            </w:r>
            <w:r>
              <w:rPr>
                <w:rFonts w:hint="eastAsia" w:ascii="Times New Roman" w:hAnsi="Times New Roman" w:eastAsia="微软雅黑" w:cs="Times New Roman"/>
                <w:sz w:val="18"/>
                <w:szCs w:val="18"/>
                <w:lang w:val="en-US" w:eastAsia="zh-CN"/>
              </w:rPr>
              <w:t>（仅在首次购买96X试剂盒时附赠）</w:t>
            </w:r>
          </w:p>
        </w:tc>
        <w:tc>
          <w:tcPr>
            <w:tcW w:w="527" w:type="pct"/>
            <w:tcBorders>
              <w:top w:val="nil"/>
              <w:bottom w:val="single" w:color="auto" w:sz="4" w:space="0"/>
            </w:tcBorders>
            <w:vAlign w:val="center"/>
          </w:tcPr>
          <w:p w14:paraId="3206BBCE">
            <w:pPr>
              <w:spacing w:line="360" w:lineRule="auto"/>
              <w:jc w:val="center"/>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常温</w:t>
            </w:r>
          </w:p>
        </w:tc>
      </w:tr>
    </w:tbl>
    <w:p w14:paraId="24B6D38E">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bookmarkStart w:id="1" w:name="_GoBack"/>
      <w:bookmarkEnd w:id="1"/>
    </w:p>
    <w:p w14:paraId="17E7FA21">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0BB2380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7E9149D8">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7D31D1F9">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4959350" cy="3375025"/>
            <wp:effectExtent l="0" t="0" r="3175" b="0"/>
            <wp:docPr id="13" name="图片 13" descr="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e-8"/>
                    <pic:cNvPicPr>
                      <a:picLocks noChangeAspect="1"/>
                    </pic:cNvPicPr>
                  </pic:nvPicPr>
                  <pic:blipFill>
                    <a:blip r:embed="rId6"/>
                    <a:stretch>
                      <a:fillRect/>
                    </a:stretch>
                  </pic:blipFill>
                  <pic:spPr>
                    <a:xfrm>
                      <a:off x="0" y="0"/>
                      <a:ext cx="4959350" cy="3375025"/>
                    </a:xfrm>
                    <a:prstGeom prst="rect">
                      <a:avLst/>
                    </a:prstGeom>
                  </pic:spPr>
                </pic:pic>
              </a:graphicData>
            </a:graphic>
          </wp:inline>
        </w:drawing>
      </w:r>
    </w:p>
    <w:p w14:paraId="4CC71363">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2EA7B41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275F5163">
        <w:tblPrEx>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70F8C46C">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434B67AE">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0703D508">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375C2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66B80CC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32AAAD61">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2B6AB697">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23B6A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4E300867">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0DE10193">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091DEFBB">
            <w:pPr>
              <w:spacing w:line="240" w:lineRule="auto"/>
              <w:jc w:val="left"/>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p>
        </w:tc>
      </w:tr>
      <w:tr w14:paraId="55B0F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773AF06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2D760A42">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6D8505E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11CF9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8FAC432">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163836F5">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3">
                            <a:extLst>
                              <a:ext uri="{96DAC541-7B7A-43D3-8B79-37D633B846F1}">
                                <asvg:svgBlip xmlns:asvg="http://schemas.microsoft.com/office/drawing/2016/SVG/main" r:embed="rId14"/>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1A2FF639">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7BD76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497C2ABB">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530E65BC">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5"/>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10FC4D9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39AAD3B3">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6D42CF0F">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1888C187">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6AD57D7F">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59B94F77">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3279BD9F">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6D7E3DEC">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4894F124">
      <w:pPr>
        <w:widowControl/>
        <w:spacing w:line="240" w:lineRule="auto"/>
        <w:jc w:val="left"/>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Condition buffer：</w:t>
      </w:r>
      <w:r>
        <w:rPr>
          <w:rFonts w:hint="default" w:ascii="Times New Roman" w:hAnsi="Times New Roman" w:eastAsia="微软雅黑" w:cs="Times New Roman"/>
          <w:color w:val="000000"/>
          <w:kern w:val="0"/>
          <w:sz w:val="21"/>
          <w:szCs w:val="21"/>
          <w:lang w:bidi="ar"/>
        </w:rPr>
        <w:t>70%ACN，0.2%TFA，每个样本需要100μl，2</w:t>
      </w:r>
      <w:r>
        <w:rPr>
          <w:rFonts w:hint="eastAsia" w:ascii="Times New Roman" w:hAnsi="Times New Roman" w:eastAsia="微软雅黑" w:cs="Times New Roman"/>
          <w:color w:val="000000"/>
          <w:kern w:val="0"/>
          <w:sz w:val="21"/>
          <w:szCs w:val="21"/>
          <w:lang w:val="en-US" w:eastAsia="zh-CN" w:bidi="ar"/>
        </w:rPr>
        <w:t>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2.98m</w:t>
      </w:r>
      <w:r>
        <w:rPr>
          <w:rFonts w:hint="default" w:ascii="Times New Roman" w:hAnsi="Times New Roman" w:eastAsia="微软雅黑" w:cs="Times New Roman"/>
          <w:color w:val="000000"/>
          <w:kern w:val="0"/>
          <w:sz w:val="21"/>
          <w:szCs w:val="21"/>
          <w:lang w:bidi="ar"/>
        </w:rPr>
        <w:t>l超纯水和7</w:t>
      </w:r>
      <w:r>
        <w:rPr>
          <w:rFonts w:hint="eastAsia" w:ascii="Times New Roman" w:hAnsi="Times New Roman" w:eastAsia="微软雅黑" w:cs="Times New Roman"/>
          <w:color w:val="000000"/>
          <w:kern w:val="0"/>
          <w:sz w:val="21"/>
          <w:szCs w:val="21"/>
          <w:lang w:val="en-US" w:eastAsia="zh-CN" w:bidi="ar"/>
        </w:rPr>
        <w:t>m</w:t>
      </w:r>
      <w:r>
        <w:rPr>
          <w:rFonts w:hint="default" w:ascii="Times New Roman" w:hAnsi="Times New Roman" w:eastAsia="微软雅黑" w:cs="Times New Roman"/>
          <w:color w:val="000000"/>
          <w:kern w:val="0"/>
          <w:sz w:val="21"/>
          <w:szCs w:val="21"/>
          <w:lang w:bidi="ar"/>
        </w:rPr>
        <w:t>l无水乙腈中，混匀；</w:t>
      </w:r>
    </w:p>
    <w:p w14:paraId="7FBD194E">
      <w:pPr>
        <w:widowControl/>
        <w:spacing w:line="240" w:lineRule="auto"/>
        <w:jc w:val="left"/>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Wash buffer：</w:t>
      </w:r>
      <w:r>
        <w:rPr>
          <w:rFonts w:hint="default"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60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hint="default" w:ascii="Times New Roman" w:hAnsi="Times New Roman" w:eastAsia="微软雅黑" w:cs="Times New Roman"/>
          <w:color w:val="000000"/>
          <w:kern w:val="0"/>
          <w:sz w:val="21"/>
          <w:szCs w:val="21"/>
          <w:lang w:bidi="ar"/>
        </w:rPr>
        <w:t>l超纯水，混匀；</w:t>
      </w:r>
    </w:p>
    <w:p w14:paraId="55A9C770">
      <w:pPr>
        <w:spacing w:line="240" w:lineRule="auto"/>
        <w:rPr>
          <w:rFonts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Elution buffer：</w:t>
      </w:r>
      <w:r>
        <w:rPr>
          <w:rFonts w:hint="default"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bidi="ar"/>
        </w:rPr>
        <w:t>0μl，2</w:t>
      </w:r>
      <w:r>
        <w:rPr>
          <w:rFonts w:hint="eastAsia" w:ascii="Times New Roman" w:hAnsi="Times New Roman" w:eastAsia="微软雅黑" w:cs="Times New Roman"/>
          <w:color w:val="000000"/>
          <w:kern w:val="0"/>
          <w:sz w:val="21"/>
          <w:szCs w:val="21"/>
          <w:lang w:val="en-US" w:eastAsia="zh-CN" w:bidi="ar"/>
        </w:rPr>
        <w:t>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1.98m</w:t>
      </w:r>
      <w:r>
        <w:rPr>
          <w:rFonts w:hint="default" w:ascii="Times New Roman" w:hAnsi="Times New Roman" w:eastAsia="微软雅黑" w:cs="Times New Roman"/>
          <w:color w:val="000000"/>
          <w:kern w:val="0"/>
          <w:sz w:val="21"/>
          <w:szCs w:val="21"/>
          <w:lang w:bidi="ar"/>
        </w:rPr>
        <w:t>l超纯水和</w:t>
      </w:r>
      <w:r>
        <w:rPr>
          <w:rFonts w:hint="eastAsia" w:ascii="Times New Roman" w:hAnsi="Times New Roman" w:eastAsia="微软雅黑" w:cs="Times New Roman"/>
          <w:color w:val="000000"/>
          <w:kern w:val="0"/>
          <w:sz w:val="21"/>
          <w:szCs w:val="21"/>
          <w:lang w:val="en-US" w:eastAsia="zh-CN" w:bidi="ar"/>
        </w:rPr>
        <w:t>9m</w:t>
      </w:r>
      <w:r>
        <w:rPr>
          <w:rFonts w:hint="default" w:ascii="Times New Roman" w:hAnsi="Times New Roman" w:eastAsia="微软雅黑" w:cs="Times New Roman"/>
          <w:color w:val="000000"/>
          <w:kern w:val="0"/>
          <w:sz w:val="21"/>
          <w:szCs w:val="21"/>
          <w:lang w:bidi="ar"/>
        </w:rPr>
        <w:t>l无水乙腈中，混匀。</w:t>
      </w:r>
    </w:p>
    <w:p w14:paraId="4F12EE37">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 操作过程</w:t>
      </w:r>
    </w:p>
    <w:p w14:paraId="5E7BD6ED">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5.1  蛋白富集</w:t>
      </w:r>
    </w:p>
    <w:p w14:paraId="6D8C7C68">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使用前，取出试剂H通过吹打或者超声使其分散均匀，然后</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 xml:space="preserve">0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H加入到100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血浆样本中</w:t>
      </w:r>
      <w:r>
        <w:rPr>
          <w:rFonts w:ascii="Times New Roman" w:hAnsi="Times New Roman" w:eastAsia="微软雅黑" w:cs="Times New Roman"/>
          <w:color w:val="000000"/>
          <w:kern w:val="0"/>
          <w:sz w:val="21"/>
          <w:szCs w:val="21"/>
          <w:lang w:bidi="ar"/>
        </w:rPr>
        <w:t>；</w:t>
      </w:r>
    </w:p>
    <w:p w14:paraId="0A81B8CA">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 xml:space="preserve">b. </w:t>
      </w:r>
      <w:r>
        <w:rPr>
          <w:rFonts w:ascii="Times New Roman" w:hAnsi="Times New Roman" w:eastAsia="微软雅黑" w:cs="Times New Roman"/>
          <w:color w:val="000000"/>
          <w:kern w:val="0"/>
          <w:sz w:val="21"/>
          <w:szCs w:val="21"/>
          <w:lang w:bidi="ar"/>
        </w:rPr>
        <w:t>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w:t>
      </w:r>
      <w:r>
        <w:rPr>
          <w:rFonts w:hint="eastAsia" w:ascii="Times New Roman" w:hAnsi="Times New Roman" w:eastAsia="微软雅黑" w:cs="Times New Roman"/>
          <w:color w:val="000000"/>
          <w:kern w:val="0"/>
          <w:sz w:val="21"/>
          <w:szCs w:val="21"/>
          <w:lang w:val="en-US" w:eastAsia="zh-CN" w:bidi="ar"/>
        </w:rPr>
        <w:t>60min（1000 rpm）</w:t>
      </w:r>
      <w:r>
        <w:rPr>
          <w:rFonts w:ascii="Times New Roman" w:hAnsi="Times New Roman" w:eastAsia="微软雅黑" w:cs="Times New Roman"/>
          <w:color w:val="000000"/>
          <w:kern w:val="0"/>
          <w:sz w:val="21"/>
          <w:szCs w:val="21"/>
          <w:lang w:bidi="ar"/>
        </w:rPr>
        <w:t>；</w:t>
      </w:r>
    </w:p>
    <w:p w14:paraId="5B118228">
      <w:pPr>
        <w:spacing w:line="240" w:lineRule="auto"/>
        <w:rPr>
          <w:rFonts w:ascii="Times New Roman" w:hAnsi="Times New Roman" w:eastAsia="微软雅黑" w:cs="Times New Roman"/>
          <w:color w:val="FF0000"/>
          <w:kern w:val="0"/>
          <w:sz w:val="21"/>
          <w:szCs w:val="21"/>
          <w:lang w:bidi="ar"/>
        </w:rPr>
      </w:pPr>
      <w:bookmarkStart w:id="0" w:name="OLE_LINK4"/>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w:t>
      </w:r>
      <w:bookmarkEnd w:id="0"/>
      <w:r>
        <w:rPr>
          <w:rFonts w:hint="eastAsia" w:ascii="Times New Roman" w:hAnsi="Times New Roman" w:eastAsia="微软雅黑" w:cs="Times New Roman"/>
          <w:color w:val="000000"/>
          <w:kern w:val="0"/>
          <w:sz w:val="21"/>
          <w:szCs w:val="21"/>
          <w:lang w:val="en-US" w:eastAsia="zh-CN" w:bidi="ar"/>
        </w:rPr>
        <w:t xml:space="preserve"> 孵育结束后，样本瞬时离心，然后</w:t>
      </w:r>
      <w:r>
        <w:rPr>
          <w:rFonts w:hint="eastAsia" w:ascii="Times New Roman" w:hAnsi="Times New Roman" w:eastAsia="微软雅黑" w:cs="Times New Roman"/>
          <w:color w:val="000000"/>
          <w:kern w:val="0"/>
          <w:sz w:val="21"/>
          <w:szCs w:val="21"/>
          <w:lang w:bidi="ar"/>
        </w:rPr>
        <w:t>置于磁力架上静置2min，</w:t>
      </w:r>
      <w:r>
        <w:rPr>
          <w:rFonts w:ascii="Times New Roman" w:hAnsi="Times New Roman" w:eastAsia="微软雅黑" w:cs="Times New Roman"/>
          <w:color w:val="000000"/>
          <w:kern w:val="0"/>
          <w:sz w:val="21"/>
          <w:szCs w:val="21"/>
          <w:lang w:bidi="ar"/>
        </w:rPr>
        <w:t>磁分离弃掉上清，加入 300 μL试剂</w:t>
      </w:r>
      <w:r>
        <w:rPr>
          <w:rFonts w:hint="eastAsia" w:ascii="Times New Roman" w:hAnsi="Times New Roman" w:eastAsia="微软雅黑" w:cs="Times New Roman"/>
          <w:color w:val="000000"/>
          <w:kern w:val="0"/>
          <w:sz w:val="21"/>
          <w:szCs w:val="21"/>
          <w:lang w:val="en-US" w:eastAsia="zh-CN" w:bidi="ar"/>
        </w:rPr>
        <w:t>G</w:t>
      </w:r>
      <w:r>
        <w:rPr>
          <w:rFonts w:ascii="Times New Roman" w:hAnsi="Times New Roman" w:eastAsia="微软雅黑" w:cs="Times New Roman"/>
          <w:color w:val="000000"/>
          <w:kern w:val="0"/>
          <w:sz w:val="21"/>
          <w:szCs w:val="21"/>
          <w:lang w:bidi="ar"/>
        </w:rPr>
        <w:t>，震荡清洗</w:t>
      </w:r>
      <w:r>
        <w:rPr>
          <w:rFonts w:hint="eastAsia" w:ascii="Times New Roman" w:hAnsi="Times New Roman" w:eastAsia="微软雅黑" w:cs="Times New Roman"/>
          <w:color w:val="000000"/>
          <w:kern w:val="0"/>
          <w:sz w:val="21"/>
          <w:szCs w:val="21"/>
          <w:lang w:val="en-US" w:eastAsia="zh-CN" w:bidi="ar"/>
        </w:rPr>
        <w:t>5min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00rpm震荡清洗5min，确保残留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p>
    <w:p w14:paraId="0297D032">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5.2 蛋白酶解</w:t>
      </w:r>
    </w:p>
    <w:p w14:paraId="24CB52DC">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w:t>
      </w: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w:t>
      </w:r>
      <w:r>
        <w:rPr>
          <w:rFonts w:hint="eastAsia" w:ascii="Times New Roman" w:hAnsi="Times New Roman" w:eastAsia="微软雅黑" w:cs="Times New Roman"/>
          <w:color w:val="000000"/>
          <w:kern w:val="0"/>
          <w:sz w:val="21"/>
          <w:szCs w:val="21"/>
          <w:lang w:val="en-US" w:eastAsia="zh-CN" w:bidi="ar"/>
        </w:rPr>
        <w:t>6</w:t>
      </w:r>
      <w:r>
        <w:rPr>
          <w:rFonts w:hint="eastAsia" w:ascii="Times New Roman" w:hAnsi="Times New Roman" w:eastAsia="微软雅黑" w:cs="Times New Roman"/>
          <w:color w:val="000000"/>
          <w:kern w:val="0"/>
          <w:sz w:val="21"/>
          <w:szCs w:val="21"/>
          <w:lang w:bidi="ar"/>
        </w:rPr>
        <w:t>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7CE17905">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95℃加热5min（95℃，1000rpm）；</w:t>
      </w:r>
    </w:p>
    <w:p w14:paraId="583110D9">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70C42FD4">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1DB83802">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0F89D027">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脱盐柱活化：100μl甲醇加入到脱盐柱中，700g离心1min；</w:t>
      </w:r>
    </w:p>
    <w:p w14:paraId="3E7DAC9A">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脱盐柱去杂质：100μl Condition buffer加入到脱盐柱中，700g离心1min；</w:t>
      </w:r>
    </w:p>
    <w:p w14:paraId="37DDBE44">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脱盐柱平衡：100μl Wash buffer加入到脱盐柱中，700g离心1min；</w:t>
      </w:r>
    </w:p>
    <w:p w14:paraId="1453A8D4">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加载样本：将样本全部加载到脱盐柱中，700g离心1min，重复操作一次；</w:t>
      </w:r>
      <w:r>
        <w:rPr>
          <w:rFonts w:ascii="Times New Roman" w:hAnsi="Times New Roman" w:eastAsia="微软雅黑" w:cs="Times New Roman"/>
          <w:color w:val="FF0000"/>
          <w:kern w:val="0"/>
          <w:sz w:val="21"/>
          <w:szCs w:val="21"/>
          <w:lang w:bidi="ar"/>
        </w:rPr>
        <w:t>（</w:t>
      </w:r>
      <w:r>
        <w:rPr>
          <w:rFonts w:hint="eastAsia" w:ascii="Times New Roman" w:hAnsi="Times New Roman" w:eastAsia="微软雅黑" w:cs="Times New Roman"/>
          <w:color w:val="FF0000"/>
          <w:kern w:val="0"/>
          <w:sz w:val="21"/>
          <w:szCs w:val="21"/>
          <w:lang w:val="en-US" w:eastAsia="zh-CN" w:bidi="ar"/>
        </w:rPr>
        <w:t>加载样本前确保pH &lt; 3</w:t>
      </w:r>
      <w:r>
        <w:rPr>
          <w:rFonts w:ascii="Times New Roman" w:hAnsi="Times New Roman" w:eastAsia="微软雅黑" w:cs="Times New Roman"/>
          <w:color w:val="FF0000"/>
          <w:kern w:val="0"/>
          <w:sz w:val="21"/>
          <w:szCs w:val="21"/>
          <w:lang w:bidi="ar"/>
        </w:rPr>
        <w:t>，可</w:t>
      </w:r>
      <w:r>
        <w:rPr>
          <w:rFonts w:hint="eastAsia" w:ascii="Times New Roman" w:hAnsi="Times New Roman" w:eastAsia="微软雅黑" w:cs="Times New Roman"/>
          <w:color w:val="FF0000"/>
          <w:kern w:val="0"/>
          <w:sz w:val="21"/>
          <w:szCs w:val="21"/>
          <w:lang w:bidi="ar"/>
        </w:rPr>
        <w:t>使用20%TFA</w:t>
      </w:r>
      <w:r>
        <w:rPr>
          <w:rFonts w:ascii="Times New Roman" w:hAnsi="Times New Roman" w:eastAsia="微软雅黑" w:cs="Times New Roman"/>
          <w:color w:val="FF0000"/>
          <w:kern w:val="0"/>
          <w:sz w:val="21"/>
          <w:szCs w:val="21"/>
          <w:lang w:bidi="ar"/>
        </w:rPr>
        <w:t>调pH＜3后加载样本）</w:t>
      </w:r>
    </w:p>
    <w:p w14:paraId="1F89CC79">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脱盐柱清洗：100μl Wash buffer加入到脱盐柱中，700g离心1min，重复操作一次；</w:t>
      </w:r>
    </w:p>
    <w:p w14:paraId="201E0643">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25387C3B">
      <w:pPr>
        <w:widowControl/>
        <w:numPr>
          <w:ilvl w:val="0"/>
          <w:numId w:val="3"/>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真空冷冻离心浓缩仪浓缩样本。</w:t>
      </w:r>
    </w:p>
    <w:p w14:paraId="17862AB8">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21A62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10AE9F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0E8D8D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2724C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3C4A63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B07B2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62F7A8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19ED6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343CE655">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03B361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3F4ED8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1372F16E">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A31EEF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B76BF">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72B9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6AB72B9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245EF">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s>
  <w:rsids>
    <w:rsidRoot w:val="00000000"/>
    <w:rsid w:val="0948340B"/>
    <w:rsid w:val="0F56003F"/>
    <w:rsid w:val="13AC0DFB"/>
    <w:rsid w:val="15F159C8"/>
    <w:rsid w:val="18FA728B"/>
    <w:rsid w:val="19E16A10"/>
    <w:rsid w:val="1B63383F"/>
    <w:rsid w:val="1BAF4D2D"/>
    <w:rsid w:val="1EFC5E1C"/>
    <w:rsid w:val="1FD012F9"/>
    <w:rsid w:val="22CE1FB8"/>
    <w:rsid w:val="239D478B"/>
    <w:rsid w:val="28EA0D76"/>
    <w:rsid w:val="29F42CF2"/>
    <w:rsid w:val="2FFA371C"/>
    <w:rsid w:val="30E64D81"/>
    <w:rsid w:val="344F3FA7"/>
    <w:rsid w:val="396C0E37"/>
    <w:rsid w:val="39E15381"/>
    <w:rsid w:val="3A4A5EF4"/>
    <w:rsid w:val="3D2C6E4B"/>
    <w:rsid w:val="3F8F6DDC"/>
    <w:rsid w:val="3FA3534A"/>
    <w:rsid w:val="41412BA9"/>
    <w:rsid w:val="42F655C2"/>
    <w:rsid w:val="4C886703"/>
    <w:rsid w:val="52A5300F"/>
    <w:rsid w:val="54100711"/>
    <w:rsid w:val="5DF66164"/>
    <w:rsid w:val="60A74B67"/>
    <w:rsid w:val="63F70CE7"/>
    <w:rsid w:val="6CEA7F87"/>
    <w:rsid w:val="6E90281E"/>
    <w:rsid w:val="6FFB73C8"/>
    <w:rsid w:val="7151411F"/>
    <w:rsid w:val="7291675C"/>
    <w:rsid w:val="75C43A70"/>
    <w:rsid w:val="762A7D90"/>
    <w:rsid w:val="76746B37"/>
    <w:rsid w:val="7AEA3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sv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1645</Words>
  <Characters>2311</Characters>
  <Lines>0</Lines>
  <Paragraphs>0</Paragraphs>
  <TotalTime>0</TotalTime>
  <ScaleCrop>false</ScaleCrop>
  <LinksUpToDate>false</LinksUpToDate>
  <CharactersWithSpaces>2418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2024-09-28T07:59:00Z</cp:lastPrinted>
  <dcterms:modified xsi:type="dcterms:W3CDTF">2026-06-10T01:12:22Z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C0067A08F9E94C49B54DB5ABFEA02B4B_13</vt:lpwstr>
  </property>
  <property fmtid="{D5CDD505-2E9C-101B-9397-08002B2CF9AE}" pid="4" name="KSOTemplateDocerSaveRecord">
    <vt:lpwstr>eyJoZGlkIjoiNGE4MmJmZWM4N2NmNzM0ODc5NTJkMGZhNzZhNmI2ZDgiLCJ1c2VySWQiOiI2OTYyMTYzMjYifQ==</vt:lpwstr>
  </property>
</Properties>
</file>