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2A3D6">
      <w:pPr>
        <w:jc w:val="center"/>
        <w:rPr>
          <w:rFonts w:hint="eastAsia" w:ascii="微软雅黑" w:hAnsi="微软雅黑" w:eastAsia="微软雅黑" w:cs="微软雅黑"/>
          <w:b/>
          <w:bCs/>
          <w:sz w:val="32"/>
          <w:szCs w:val="32"/>
        </w:rPr>
      </w:pPr>
      <w:bookmarkStart w:id="0" w:name="_GoBack"/>
      <w:bookmarkEnd w:id="0"/>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lang w:val="en-US" w:eastAsia="zh-CN"/>
        </w:rPr>
        <w:t xml:space="preserve">Ex </w:t>
      </w:r>
      <w:r>
        <w:rPr>
          <w:rFonts w:hint="eastAsia" w:ascii="微软雅黑" w:hAnsi="微软雅黑" w:eastAsia="微软雅黑" w:cs="微软雅黑"/>
          <w:b/>
          <w:bCs/>
          <w:sz w:val="32"/>
          <w:szCs w:val="32"/>
          <w:lang w:val="en-US" w:eastAsia="zh-CN"/>
        </w:rPr>
        <w:t>极微量蛋白</w:t>
      </w:r>
      <w:r>
        <w:rPr>
          <w:rFonts w:hint="eastAsia" w:ascii="微软雅黑" w:hAnsi="微软雅黑" w:eastAsia="微软雅黑" w:cs="微软雅黑"/>
          <w:b/>
          <w:bCs/>
          <w:sz w:val="32"/>
          <w:szCs w:val="32"/>
        </w:rPr>
        <w:t>前处理制备试剂盒</w:t>
      </w:r>
    </w:p>
    <w:p w14:paraId="40A20989">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货号：OSFP0004  规格：48x  版本号：V20260609</w:t>
      </w:r>
    </w:p>
    <w:p w14:paraId="0A6B1C5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1"/>
        <w:gridCol w:w="1270"/>
        <w:gridCol w:w="4501"/>
        <w:gridCol w:w="1357"/>
      </w:tblGrid>
      <w:tr w14:paraId="01C27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single" w:color="auto" w:sz="6" w:space="0"/>
              <w:bottom w:val="single" w:color="auto" w:sz="6" w:space="0"/>
            </w:tcBorders>
            <w:noWrap w:val="0"/>
            <w:vAlign w:val="center"/>
          </w:tcPr>
          <w:p w14:paraId="3F1893F9">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745" w:type="pct"/>
            <w:tcBorders>
              <w:top w:val="single" w:color="auto" w:sz="6" w:space="0"/>
              <w:bottom w:val="single" w:color="auto" w:sz="6" w:space="0"/>
            </w:tcBorders>
            <w:noWrap w:val="0"/>
            <w:vAlign w:val="center"/>
          </w:tcPr>
          <w:p w14:paraId="37F3595C">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641" w:type="pct"/>
            <w:tcBorders>
              <w:top w:val="single" w:color="auto" w:sz="6" w:space="0"/>
              <w:bottom w:val="single" w:color="auto" w:sz="6" w:space="0"/>
            </w:tcBorders>
            <w:noWrap w:val="0"/>
            <w:vAlign w:val="center"/>
          </w:tcPr>
          <w:p w14:paraId="786D408F">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96" w:type="pct"/>
            <w:tcBorders>
              <w:top w:val="single" w:color="auto" w:sz="6" w:space="0"/>
              <w:bottom w:val="single" w:color="auto" w:sz="6" w:space="0"/>
            </w:tcBorders>
            <w:noWrap w:val="0"/>
            <w:vAlign w:val="center"/>
          </w:tcPr>
          <w:p w14:paraId="62A3E63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1DA4C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7BD52B2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745" w:type="pct"/>
            <w:tcBorders>
              <w:top w:val="nil"/>
              <w:bottom w:val="nil"/>
            </w:tcBorders>
            <w:noWrap w:val="0"/>
            <w:vAlign w:val="center"/>
          </w:tcPr>
          <w:p w14:paraId="6925BD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150 μl*</w:t>
            </w:r>
            <w:r>
              <w:rPr>
                <w:rFonts w:hint="eastAsia" w:ascii="Times New Roman" w:hAnsi="Times New Roman" w:eastAsia="微软雅黑" w:cs="Times New Roman"/>
                <w:b w:val="0"/>
                <w:bCs w:val="0"/>
                <w:sz w:val="18"/>
                <w:szCs w:val="18"/>
                <w:vertAlign w:val="baseline"/>
                <w:lang w:val="en-US" w:eastAsia="zh-CN"/>
              </w:rPr>
              <w:t>6</w:t>
            </w:r>
          </w:p>
        </w:tc>
        <w:tc>
          <w:tcPr>
            <w:tcW w:w="2641" w:type="pct"/>
            <w:tcBorders>
              <w:top w:val="nil"/>
              <w:bottom w:val="nil"/>
            </w:tcBorders>
            <w:noWrap w:val="0"/>
            <w:vAlign w:val="center"/>
          </w:tcPr>
          <w:p w14:paraId="785A96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还原烷基化，蛋白质还原烷基化</w:t>
            </w:r>
          </w:p>
        </w:tc>
        <w:tc>
          <w:tcPr>
            <w:tcW w:w="796" w:type="pct"/>
            <w:tcBorders>
              <w:top w:val="nil"/>
              <w:bottom w:val="nil"/>
            </w:tcBorders>
            <w:noWrap w:val="0"/>
            <w:vAlign w:val="center"/>
          </w:tcPr>
          <w:p w14:paraId="496B55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4CF4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76768FA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p>
        </w:tc>
        <w:tc>
          <w:tcPr>
            <w:tcW w:w="745" w:type="pct"/>
            <w:tcBorders>
              <w:top w:val="nil"/>
              <w:bottom w:val="nil"/>
            </w:tcBorders>
            <w:noWrap w:val="0"/>
            <w:vAlign w:val="center"/>
          </w:tcPr>
          <w:p w14:paraId="070F10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150μl*</w:t>
            </w:r>
            <w:r>
              <w:rPr>
                <w:rFonts w:hint="eastAsia" w:ascii="Times New Roman" w:hAnsi="Times New Roman" w:eastAsia="微软雅黑" w:cs="Times New Roman"/>
                <w:b w:val="0"/>
                <w:bCs w:val="0"/>
                <w:sz w:val="18"/>
                <w:szCs w:val="18"/>
                <w:vertAlign w:val="baseline"/>
                <w:lang w:val="en-US" w:eastAsia="zh-CN"/>
              </w:rPr>
              <w:t>6</w:t>
            </w:r>
          </w:p>
        </w:tc>
        <w:tc>
          <w:tcPr>
            <w:tcW w:w="2641" w:type="pct"/>
            <w:tcBorders>
              <w:top w:val="nil"/>
              <w:bottom w:val="nil"/>
            </w:tcBorders>
            <w:noWrap w:val="0"/>
            <w:vAlign w:val="center"/>
          </w:tcPr>
          <w:p w14:paraId="556A6B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96" w:type="pct"/>
            <w:tcBorders>
              <w:top w:val="nil"/>
              <w:bottom w:val="nil"/>
            </w:tcBorders>
            <w:noWrap w:val="0"/>
            <w:vAlign w:val="center"/>
          </w:tcPr>
          <w:p w14:paraId="27ADF6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F954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02B2D5E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C </w:t>
            </w:r>
            <w:r>
              <w:rPr>
                <w:rFonts w:hint="default" w:ascii="Times New Roman" w:hAnsi="Times New Roman" w:eastAsia="微软雅黑" w:cs="Times New Roman"/>
                <w:b w:val="0"/>
                <w:bCs w:val="0"/>
                <w:color w:val="auto"/>
                <w:sz w:val="18"/>
                <w:szCs w:val="18"/>
                <w:vertAlign w:val="baseline"/>
                <w:lang w:val="en-US" w:eastAsia="zh-CN"/>
              </w:rPr>
              <w:t>●</w:t>
            </w:r>
          </w:p>
        </w:tc>
        <w:tc>
          <w:tcPr>
            <w:tcW w:w="745" w:type="pct"/>
            <w:tcBorders>
              <w:top w:val="nil"/>
              <w:bottom w:val="nil"/>
            </w:tcBorders>
            <w:noWrap w:val="0"/>
            <w:vAlign w:val="center"/>
          </w:tcPr>
          <w:p w14:paraId="60D2D9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30μl*</w:t>
            </w:r>
            <w:r>
              <w:rPr>
                <w:rFonts w:hint="eastAsia" w:ascii="Times New Roman" w:hAnsi="Times New Roman" w:eastAsia="微软雅黑" w:cs="Times New Roman"/>
                <w:b w:val="0"/>
                <w:bCs w:val="0"/>
                <w:sz w:val="18"/>
                <w:szCs w:val="18"/>
                <w:vertAlign w:val="baseline"/>
                <w:lang w:val="en-US" w:eastAsia="zh-CN"/>
              </w:rPr>
              <w:t>6</w:t>
            </w:r>
          </w:p>
        </w:tc>
        <w:tc>
          <w:tcPr>
            <w:tcW w:w="2641" w:type="pct"/>
            <w:tcBorders>
              <w:top w:val="nil"/>
              <w:bottom w:val="nil"/>
            </w:tcBorders>
            <w:noWrap w:val="0"/>
            <w:vAlign w:val="center"/>
          </w:tcPr>
          <w:p w14:paraId="4C1868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96" w:type="pct"/>
            <w:tcBorders>
              <w:top w:val="nil"/>
              <w:bottom w:val="nil"/>
            </w:tcBorders>
            <w:noWrap w:val="0"/>
            <w:vAlign w:val="center"/>
          </w:tcPr>
          <w:p w14:paraId="05D094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8468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4366D4D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Cartridge</w:t>
            </w:r>
          </w:p>
        </w:tc>
        <w:tc>
          <w:tcPr>
            <w:tcW w:w="745" w:type="pct"/>
            <w:tcBorders>
              <w:top w:val="nil"/>
              <w:bottom w:val="nil"/>
            </w:tcBorders>
            <w:noWrap w:val="0"/>
            <w:vAlign w:val="center"/>
          </w:tcPr>
          <w:p w14:paraId="1C06119C">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10</w:t>
            </w:r>
            <w:r>
              <w:rPr>
                <w:rFonts w:hint="default" w:ascii="Times New Roman" w:hAnsi="Times New Roman" w:eastAsia="微软雅黑" w:cs="Times New Roman"/>
                <w:sz w:val="18"/>
                <w:szCs w:val="18"/>
              </w:rPr>
              <w:t>μg载量*</w:t>
            </w:r>
            <w:r>
              <w:rPr>
                <w:rFonts w:hint="eastAsia" w:ascii="Times New Roman" w:hAnsi="Times New Roman" w:eastAsia="微软雅黑" w:cs="Times New Roman"/>
                <w:sz w:val="18"/>
                <w:szCs w:val="18"/>
                <w:lang w:val="en-US" w:eastAsia="zh-CN"/>
              </w:rPr>
              <w:t>48</w:t>
            </w:r>
          </w:p>
        </w:tc>
        <w:tc>
          <w:tcPr>
            <w:tcW w:w="2641" w:type="pct"/>
            <w:tcBorders>
              <w:top w:val="nil"/>
              <w:bottom w:val="nil"/>
            </w:tcBorders>
            <w:noWrap w:val="0"/>
            <w:vAlign w:val="center"/>
          </w:tcPr>
          <w:p w14:paraId="45A1B62A">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96" w:type="pct"/>
            <w:tcBorders>
              <w:top w:val="nil"/>
              <w:bottom w:val="nil"/>
            </w:tcBorders>
            <w:noWrap w:val="0"/>
            <w:vAlign w:val="center"/>
          </w:tcPr>
          <w:p w14:paraId="10D5947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7D337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single" w:color="auto" w:sz="4" w:space="0"/>
            </w:tcBorders>
            <w:noWrap w:val="0"/>
            <w:vAlign w:val="center"/>
          </w:tcPr>
          <w:p w14:paraId="19EFD47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Adaptor</w:t>
            </w:r>
          </w:p>
        </w:tc>
        <w:tc>
          <w:tcPr>
            <w:tcW w:w="745" w:type="pct"/>
            <w:tcBorders>
              <w:top w:val="nil"/>
              <w:bottom w:val="single" w:color="auto" w:sz="4" w:space="0"/>
            </w:tcBorders>
            <w:noWrap w:val="0"/>
            <w:vAlign w:val="center"/>
          </w:tcPr>
          <w:p w14:paraId="0C87B512">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24</w:t>
            </w:r>
          </w:p>
        </w:tc>
        <w:tc>
          <w:tcPr>
            <w:tcW w:w="2641" w:type="pct"/>
            <w:tcBorders>
              <w:top w:val="nil"/>
              <w:bottom w:val="single" w:color="auto" w:sz="4" w:space="0"/>
            </w:tcBorders>
            <w:noWrap w:val="0"/>
            <w:vAlign w:val="center"/>
          </w:tcPr>
          <w:p w14:paraId="64C7A76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除盐适配器</w:t>
            </w:r>
            <w:r>
              <w:rPr>
                <w:rFonts w:hint="eastAsia" w:ascii="Times New Roman" w:hAnsi="Times New Roman" w:eastAsia="微软雅黑" w:cs="Times New Roman"/>
                <w:sz w:val="18"/>
                <w:szCs w:val="18"/>
                <w:lang w:val="en-US" w:eastAsia="zh-CN"/>
              </w:rPr>
              <w:t>（仅在首次购买试剂盒时附赠）</w:t>
            </w:r>
          </w:p>
        </w:tc>
        <w:tc>
          <w:tcPr>
            <w:tcW w:w="796" w:type="pct"/>
            <w:tcBorders>
              <w:top w:val="nil"/>
              <w:bottom w:val="single" w:color="auto" w:sz="4" w:space="0"/>
            </w:tcBorders>
            <w:noWrap w:val="0"/>
            <w:vAlign w:val="center"/>
          </w:tcPr>
          <w:p w14:paraId="148D1BF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bl>
    <w:p w14:paraId="736457D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5C70BD9F">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2FA5C62B">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易肽Ex极微量蛋白前处理制备试剂盒旨在以较少的样品制备步骤和较短的操作时间以获得最佳的实验结果。适用范围约</w:t>
      </w:r>
      <w:r>
        <w:rPr>
          <w:rFonts w:hint="default" w:ascii="Times New Roman" w:hAnsi="Times New Roman" w:eastAsia="微软雅黑" w:cs="Times New Roman"/>
          <w:lang w:val="en-US" w:eastAsia="zh-CN"/>
        </w:rPr>
        <w:t>100-10000</w:t>
      </w:r>
      <w:r>
        <w:rPr>
          <w:rFonts w:hint="eastAsia" w:ascii="微软雅黑" w:hAnsi="微软雅黑" w:eastAsia="微软雅黑" w:cs="微软雅黑"/>
          <w:lang w:val="en-US" w:eastAsia="zh-CN"/>
        </w:rPr>
        <w:t>个细胞或相当的蛋白量样本。该试剂盒提供蛋白制备包括蛋白变性、还原烷基化、蛋白酶解以及肽段脱盐过程的相关试剂。基于溶液内快速酶解的前处理方法，解决了传统方法损失大、耗时长的弊端，仅需</w:t>
      </w:r>
      <w:r>
        <w:rPr>
          <w:rFonts w:hint="default" w:ascii="Times New Roman" w:hAnsi="Times New Roman" w:eastAsia="微软雅黑" w:cs="Times New Roman"/>
          <w:lang w:val="en-US" w:eastAsia="zh-CN"/>
        </w:rPr>
        <w:t>2-3</w:t>
      </w:r>
      <w:r>
        <w:rPr>
          <w:rFonts w:hint="eastAsia" w:ascii="微软雅黑" w:hAnsi="微软雅黑" w:eastAsia="微软雅黑" w:cs="微软雅黑"/>
          <w:lang w:val="en-US" w:eastAsia="zh-CN"/>
        </w:rPr>
        <w:t>小时即可完成质谱检测前的所有步骤，且平行性好，以实现极微量蛋白的快速制备及蛋白质组深度覆盖检测。</w:t>
      </w:r>
    </w:p>
    <w:p w14:paraId="708A4610">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4785" cy="1707515"/>
            <wp:effectExtent l="0" t="0" r="12065" b="6985"/>
            <wp:docPr id="1" name="图片 9" descr="极微量96X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极微量96X白色除盐头"/>
                    <pic:cNvPicPr>
                      <a:picLocks noChangeAspect="1"/>
                    </pic:cNvPicPr>
                  </pic:nvPicPr>
                  <pic:blipFill>
                    <a:blip r:embed="rId6"/>
                    <a:stretch>
                      <a:fillRect/>
                    </a:stretch>
                  </pic:blipFill>
                  <pic:spPr>
                    <a:xfrm>
                      <a:off x="0" y="0"/>
                      <a:ext cx="5264785" cy="1707515"/>
                    </a:xfrm>
                    <a:prstGeom prst="rect">
                      <a:avLst/>
                    </a:prstGeom>
                    <a:noFill/>
                    <a:ln>
                      <a:noFill/>
                    </a:ln>
                  </pic:spPr>
                </pic:pic>
              </a:graphicData>
            </a:graphic>
          </wp:inline>
        </w:drawing>
      </w:r>
    </w:p>
    <w:p w14:paraId="3571913A">
      <w:pPr>
        <w:jc w:val="left"/>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参考文献：</w:t>
      </w:r>
    </w:p>
    <w:p w14:paraId="6D813E12">
      <w:pPr>
        <w:jc w:val="left"/>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Shuang Yang, Yueting Xiong, Yang Du, Ya-Jun Wang, Lei Zhang, Fenglin Shen, Yan-Jun Liu, Xiaohui Liu, and Pengyuan Yang. (2022). Ultrasensitive Trace Sample Proteomics Unraveled the Protein Remodeling during Mesenchymal–Amoeboid Transition. Analytical Chemistry, 94 (2), 768-776.</w:t>
      </w:r>
    </w:p>
    <w:p w14:paraId="32E0CBBA">
      <w:pPr>
        <w:jc w:val="left"/>
        <w:rPr>
          <w:rFonts w:hint="eastAsia" w:ascii="Times New Roman" w:hAnsi="Times New Roman" w:eastAsia="微软雅黑" w:cs="Times New Roman"/>
          <w:sz w:val="18"/>
          <w:szCs w:val="18"/>
          <w:lang w:val="en-US" w:eastAsia="zh-CN"/>
        </w:rPr>
      </w:pPr>
    </w:p>
    <w:p w14:paraId="40C25060">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021A853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68A25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noWrap w:val="0"/>
            <w:vAlign w:val="center"/>
          </w:tcPr>
          <w:p w14:paraId="6D98F67D">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noWrap w:val="0"/>
            <w:vAlign w:val="center"/>
          </w:tcPr>
          <w:p w14:paraId="1623E103">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3D45CE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174A1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noWrap w:val="0"/>
            <w:vAlign w:val="center"/>
          </w:tcPr>
          <w:p w14:paraId="36EF7B04">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noWrap w:val="0"/>
            <w:vAlign w:val="center"/>
          </w:tcPr>
          <w:p w14:paraId="36EFB43D">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61EE16A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14987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noWrap w:val="0"/>
            <w:vAlign w:val="center"/>
          </w:tcPr>
          <w:p w14:paraId="27557D1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noWrap w:val="0"/>
            <w:vAlign w:val="center"/>
          </w:tcPr>
          <w:p w14:paraId="7C68E9F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0C38E24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60169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noWrap w:val="0"/>
            <w:vAlign w:val="center"/>
          </w:tcPr>
          <w:p w14:paraId="196A6014">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noWrap w:val="0"/>
            <w:vAlign w:val="center"/>
          </w:tcPr>
          <w:p w14:paraId="3658681A">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635" b="762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9"/>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noWrap w:val="0"/>
            <w:vAlign w:val="center"/>
          </w:tcPr>
          <w:p w14:paraId="68BBC0A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718E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noWrap w:val="0"/>
            <w:vAlign w:val="center"/>
          </w:tcPr>
          <w:p w14:paraId="405807C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noWrap w:val="0"/>
            <w:vAlign w:val="center"/>
          </w:tcPr>
          <w:p w14:paraId="04437435">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14605"/>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4B6A594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30D93F08">
      <w:pPr>
        <w:spacing w:line="240" w:lineRule="auto"/>
        <w:rPr>
          <w:rFonts w:ascii="Times New Roman" w:hAnsi="Times New Roman" w:eastAsia="微软雅黑" w:cs="Times New Roman"/>
          <w:b/>
          <w:bCs/>
          <w:sz w:val="21"/>
          <w:szCs w:val="21"/>
        </w:rPr>
      </w:pPr>
    </w:p>
    <w:p w14:paraId="7FA1F0A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6A95C390">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2B05FA16">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7F5742FE">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5A7839B6">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129DC16B">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46EE7628">
      <w:pPr>
        <w:widowControl/>
        <w:numPr>
          <w:ilvl w:val="0"/>
          <w:numId w:val="0"/>
        </w:numPr>
        <w:spacing w:line="240" w:lineRule="auto"/>
        <w:jc w:val="left"/>
        <w:rPr>
          <w:rFonts w:ascii="Times New Roman" w:hAnsi="Times New Roman" w:eastAsia="微软雅黑" w:cs="Times New Roman"/>
          <w:color w:val="000000"/>
          <w:kern w:val="0"/>
          <w:sz w:val="21"/>
          <w:szCs w:val="21"/>
          <w:lang w:bidi="ar"/>
        </w:rPr>
      </w:pPr>
    </w:p>
    <w:p w14:paraId="0616D40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0BE6CADB">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1.49m</w:t>
      </w:r>
      <w:r>
        <w:rPr>
          <w:rFonts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3.5m</w:t>
      </w:r>
      <w:r>
        <w:rPr>
          <w:rFonts w:ascii="Times New Roman" w:hAnsi="Times New Roman" w:eastAsia="微软雅黑" w:cs="Times New Roman"/>
          <w:color w:val="000000"/>
          <w:kern w:val="0"/>
          <w:sz w:val="21"/>
          <w:szCs w:val="21"/>
          <w:lang w:bidi="ar"/>
        </w:rPr>
        <w:t>l无水乙腈中，混匀；</w:t>
      </w:r>
    </w:p>
    <w:p w14:paraId="7ECD993B">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30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14.97m</w:t>
      </w:r>
      <w:r>
        <w:rPr>
          <w:rFonts w:ascii="Times New Roman" w:hAnsi="Times New Roman" w:eastAsia="微软雅黑" w:cs="Times New Roman"/>
          <w:color w:val="000000"/>
          <w:kern w:val="0"/>
          <w:sz w:val="21"/>
          <w:szCs w:val="21"/>
          <w:lang w:bidi="ar"/>
        </w:rPr>
        <w:t>l超纯水，混匀；</w:t>
      </w:r>
    </w:p>
    <w:p w14:paraId="4F972D87">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490</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4.5m</w:t>
      </w:r>
      <w:r>
        <w:rPr>
          <w:rFonts w:ascii="Times New Roman" w:hAnsi="Times New Roman" w:eastAsia="微软雅黑" w:cs="Times New Roman"/>
          <w:color w:val="000000"/>
          <w:kern w:val="0"/>
          <w:sz w:val="21"/>
          <w:szCs w:val="21"/>
          <w:lang w:bidi="ar"/>
        </w:rPr>
        <w:t>l无水乙腈中，混匀。</w:t>
      </w:r>
    </w:p>
    <w:p w14:paraId="3396F948">
      <w:pPr>
        <w:spacing w:line="240" w:lineRule="auto"/>
        <w:rPr>
          <w:rFonts w:ascii="Times New Roman" w:hAnsi="Times New Roman" w:eastAsia="微软雅黑" w:cs="Times New Roman"/>
          <w:color w:val="000000"/>
          <w:kern w:val="0"/>
          <w:sz w:val="21"/>
          <w:szCs w:val="21"/>
          <w:lang w:bidi="ar"/>
        </w:rPr>
      </w:pPr>
    </w:p>
    <w:p w14:paraId="182953B9">
      <w:pPr>
        <w:spacing w:line="240" w:lineRule="auto"/>
        <w:rPr>
          <w:rFonts w:hint="default" w:ascii="Times New Roman" w:hAnsi="Times New Roman" w:eastAsia="微软雅黑" w:cs="Times New Roman"/>
          <w:color w:val="FF0000"/>
          <w:kern w:val="0"/>
          <w:sz w:val="21"/>
          <w:szCs w:val="21"/>
          <w:lang w:bidi="ar"/>
        </w:rPr>
      </w:pPr>
      <w:r>
        <w:rPr>
          <w:rFonts w:hint="default" w:ascii="Times New Roman" w:hAnsi="Times New Roman" w:eastAsia="微软雅黑" w:cs="Times New Roman"/>
          <w:b/>
          <w:bCs/>
          <w:sz w:val="21"/>
          <w:szCs w:val="21"/>
        </w:rPr>
        <w:t>5. 操作过程</w:t>
      </w:r>
    </w:p>
    <w:p w14:paraId="3CCEAC03">
      <w:pPr>
        <w:spacing w:line="240" w:lineRule="auto"/>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5.</w:t>
      </w:r>
      <w:r>
        <w:rPr>
          <w:rFonts w:hint="default" w:ascii="Times New Roman" w:hAnsi="Times New Roman" w:eastAsia="微软雅黑" w:cs="Times New Roman"/>
          <w:b/>
          <w:bCs/>
          <w:sz w:val="21"/>
          <w:szCs w:val="21"/>
          <w:lang w:val="en-US" w:eastAsia="zh-CN"/>
        </w:rPr>
        <w:t>1</w:t>
      </w:r>
      <w:r>
        <w:rPr>
          <w:rFonts w:hint="default" w:ascii="Times New Roman" w:hAnsi="Times New Roman" w:eastAsia="微软雅黑" w:cs="Times New Roman"/>
          <w:b/>
          <w:bCs/>
          <w:sz w:val="21"/>
          <w:szCs w:val="21"/>
        </w:rPr>
        <w:t xml:space="preserve"> 蛋白酶解</w:t>
      </w:r>
    </w:p>
    <w:p w14:paraId="03D7B72F">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a. 取100-10000个细胞置于PBS体系中</w:t>
      </w:r>
      <w:r>
        <w:rPr>
          <w:rFonts w:hint="eastAsia" w:ascii="Times New Roman" w:hAnsi="Times New Roman" w:eastAsia="微软雅黑" w:cs="Times New Roman"/>
          <w:color w:val="FF0000"/>
          <w:kern w:val="0"/>
          <w:sz w:val="21"/>
          <w:szCs w:val="21"/>
          <w:lang w:bidi="ar"/>
        </w:rPr>
        <w:t>（建议PBS体积不要超过5</w:t>
      </w:r>
      <w:r>
        <w:rPr>
          <w:rFonts w:hint="default" w:ascii="Times New Roman" w:hAnsi="Times New Roman" w:eastAsia="微软雅黑" w:cs="Times New Roman"/>
          <w:color w:val="FF0000"/>
          <w:kern w:val="0"/>
          <w:sz w:val="21"/>
          <w:szCs w:val="21"/>
          <w:lang w:bidi="ar"/>
        </w:rPr>
        <w:t>μ</w:t>
      </w:r>
      <w:r>
        <w:rPr>
          <w:rFonts w:hint="eastAsia" w:ascii="Times New Roman" w:hAnsi="Times New Roman" w:eastAsia="微软雅黑" w:cs="Times New Roman"/>
          <w:color w:val="FF0000"/>
          <w:kern w:val="0"/>
          <w:sz w:val="21"/>
          <w:szCs w:val="21"/>
          <w:lang w:bidi="ar"/>
        </w:rPr>
        <w:t>L，采用0.5ml 低吸附EP管）</w:t>
      </w:r>
      <w:r>
        <w:rPr>
          <w:rFonts w:hint="eastAsia" w:ascii="Times New Roman" w:hAnsi="Times New Roman" w:eastAsia="微软雅黑" w:cs="Times New Roman"/>
          <w:color w:val="000000"/>
          <w:kern w:val="0"/>
          <w:sz w:val="21"/>
          <w:szCs w:val="21"/>
          <w:lang w:bidi="ar"/>
        </w:rPr>
        <w:t>；</w:t>
      </w:r>
    </w:p>
    <w:p w14:paraId="1A4322E4">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b. 加入</w:t>
      </w:r>
      <w:r>
        <w:rPr>
          <w:rFonts w:hint="eastAsia" w:ascii="Times New Roman" w:hAnsi="Times New Roman" w:eastAsia="微软雅黑" w:cs="Times New Roman"/>
          <w:color w:val="000000"/>
          <w:kern w:val="0"/>
          <w:sz w:val="21"/>
          <w:szCs w:val="21"/>
          <w:lang w:val="en-US" w:eastAsia="zh-CN" w:bidi="ar"/>
        </w:rPr>
        <w:t>15</w:t>
      </w:r>
      <w:r>
        <w:rPr>
          <w:rFonts w:hint="default" w:ascii="Times New Roman" w:hAnsi="Times New Roman" w:eastAsia="微软雅黑" w:cs="Times New Roman"/>
          <w:color w:val="000000"/>
          <w:kern w:val="0"/>
          <w:sz w:val="21"/>
          <w:szCs w:val="21"/>
          <w:lang w:bidi="ar"/>
        </w:rPr>
        <w:t xml:space="preserve"> μl</w:t>
      </w:r>
      <w:r>
        <w:rPr>
          <w:rFonts w:hint="eastAsia" w:ascii="Times New Roman" w:hAnsi="Times New Roman" w:eastAsia="微软雅黑" w:cs="Times New Roman"/>
          <w:color w:val="000000"/>
          <w:kern w:val="0"/>
          <w:sz w:val="21"/>
          <w:szCs w:val="21"/>
          <w:lang w:bidi="ar"/>
        </w:rPr>
        <w:t>试剂A ，吹打混匀</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bidi="ar"/>
        </w:rPr>
        <w:t>95</w:t>
      </w:r>
      <w:r>
        <w:rPr>
          <w:rFonts w:hint="default"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bidi="ar"/>
        </w:rPr>
        <w:t>加热5min（95</w:t>
      </w:r>
      <w:r>
        <w:rPr>
          <w:rFonts w:hint="default"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bidi="ar"/>
        </w:rPr>
        <w:t>，1000rpm）；</w:t>
      </w:r>
    </w:p>
    <w:p w14:paraId="627A7269">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FF0000"/>
          <w:kern w:val="0"/>
          <w:sz w:val="21"/>
          <w:szCs w:val="21"/>
          <w:lang w:val="en-US" w:eastAsia="zh-CN" w:bidi="ar"/>
        </w:rPr>
        <w:t>注意：如果微量组织样本建议加入试剂A后可采用非接触式超声仪辅助样本裂解，然后进行95</w:t>
      </w:r>
      <w:r>
        <w:rPr>
          <w:rFonts w:hint="default"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FF0000"/>
          <w:kern w:val="0"/>
          <w:sz w:val="21"/>
          <w:szCs w:val="21"/>
          <w:lang w:val="en-US" w:eastAsia="zh-CN" w:bidi="ar"/>
        </w:rPr>
        <w:t>加热5min。</w:t>
      </w:r>
    </w:p>
    <w:p w14:paraId="20A816C0">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 加热结束待样品恢复至室温后，加入</w:t>
      </w:r>
      <w:r>
        <w:rPr>
          <w:rFonts w:hint="eastAsia" w:ascii="Times New Roman" w:hAnsi="Times New Roman" w:eastAsia="微软雅黑" w:cs="Times New Roman"/>
          <w:color w:val="000000"/>
          <w:kern w:val="0"/>
          <w:sz w:val="21"/>
          <w:szCs w:val="21"/>
          <w:lang w:val="en-US" w:eastAsia="zh-CN" w:bidi="ar"/>
        </w:rPr>
        <w:t>1</w:t>
      </w:r>
      <w:r>
        <w:rPr>
          <w:rFonts w:hint="eastAsia" w:ascii="Times New Roman" w:hAnsi="Times New Roman" w:eastAsia="微软雅黑" w:cs="Times New Roman"/>
          <w:color w:val="000000"/>
          <w:kern w:val="0"/>
          <w:sz w:val="21"/>
          <w:szCs w:val="21"/>
          <w:lang w:bidi="ar"/>
        </w:rPr>
        <w:t xml:space="preserve">5 </w:t>
      </w:r>
      <w:r>
        <w:rPr>
          <w:rFonts w:hint="default" w:ascii="Times New Roman" w:hAnsi="Times New Roman" w:eastAsia="微软雅黑" w:cs="Times New Roman"/>
          <w:color w:val="000000"/>
          <w:kern w:val="0"/>
          <w:sz w:val="21"/>
          <w:szCs w:val="21"/>
          <w:lang w:bidi="ar"/>
        </w:rPr>
        <w:t>μl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B</w:t>
      </w:r>
      <w:r>
        <w:rPr>
          <w:rFonts w:hint="eastAsia" w:ascii="Times New Roman" w:hAnsi="Times New Roman" w:eastAsia="微软雅黑" w:cs="Times New Roman"/>
          <w:color w:val="000000"/>
          <w:kern w:val="0"/>
          <w:sz w:val="21"/>
          <w:szCs w:val="21"/>
          <w:lang w:bidi="ar"/>
        </w:rPr>
        <w:t>，混匀，37℃酶解2 h（</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bidi="ar"/>
        </w:rPr>
        <w:t>，1000rpm）；</w:t>
      </w:r>
    </w:p>
    <w:p w14:paraId="0593AF08">
      <w:pPr>
        <w:spacing w:line="240" w:lineRule="auto"/>
        <w:rPr>
          <w:rFonts w:hint="eastAsia"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d</w:t>
      </w:r>
      <w:r>
        <w:rPr>
          <w:rFonts w:hint="eastAsia" w:ascii="Times New Roman" w:hAnsi="Times New Roman" w:eastAsia="微软雅黑" w:cs="Times New Roman"/>
          <w:color w:val="000000"/>
          <w:kern w:val="0"/>
          <w:sz w:val="21"/>
          <w:szCs w:val="21"/>
          <w:lang w:bidi="ar"/>
        </w:rPr>
        <w:t>. 酶解结束后加入</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bidi="ar"/>
        </w:rPr>
        <w:t>μl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，混匀，终止酶解反应，此时会有沉淀出现，20000g离心1min后吸取上清待后续脱盐。</w:t>
      </w:r>
    </w:p>
    <w:p w14:paraId="698FE18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肽段脱盐</w:t>
      </w:r>
    </w:p>
    <w:p w14:paraId="66AF5BDC">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0μl甲醇加入到脱盐柱中，700g离心1min；</w:t>
      </w:r>
    </w:p>
    <w:p w14:paraId="2123C67B">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Condition buffer加入到脱盐柱中，700g离心1min；</w:t>
      </w:r>
    </w:p>
    <w:p w14:paraId="5AED26E1">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w:t>
      </w:r>
    </w:p>
    <w:p w14:paraId="6BDAC5E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2B75182D">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 Wash buffer加入到脱盐柱中，700g离心1min，重复操作一次；</w:t>
      </w:r>
    </w:p>
    <w:p w14:paraId="54ADCB13">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w:t>
      </w:r>
      <w:r>
        <w:rPr>
          <w:rFonts w:hint="eastAsia" w:ascii="Times New Roman" w:hAnsi="Times New Roman" w:eastAsia="微软雅黑" w:cs="Times New Roman"/>
          <w:color w:val="000000"/>
          <w:kern w:val="0"/>
          <w:sz w:val="21"/>
          <w:szCs w:val="21"/>
          <w:lang w:val="en-US" w:eastAsia="zh-CN" w:bidi="ar"/>
        </w:rPr>
        <w:t>约</w:t>
      </w:r>
      <w:r>
        <w:rPr>
          <w:rFonts w:ascii="Times New Roman" w:hAnsi="Times New Roman" w:eastAsia="微软雅黑" w:cs="Times New Roman"/>
          <w:color w:val="000000"/>
          <w:kern w:val="0"/>
          <w:sz w:val="21"/>
          <w:szCs w:val="21"/>
          <w:lang w:bidi="ar"/>
        </w:rPr>
        <w:t>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3573C43B">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572A69C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7BEFC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细胞量建议不超过1E4个，过载会导致还原烷基化以及酶切不充分，影响鉴定结果；</w:t>
      </w:r>
    </w:p>
    <w:p w14:paraId="77A526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017A9A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D89C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62B3E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33AB9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44789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52230A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ascii="Times New Roman" w:hAnsi="Times New Roman" w:eastAsia="微软雅黑" w:cs="Times New Roman"/>
          <w:color w:val="000000"/>
          <w:kern w:val="0"/>
          <w:sz w:val="18"/>
          <w:szCs w:val="18"/>
          <w:lang w:val="en-US" w:eastAsia="zh-CN" w:bidi="ar"/>
        </w:rPr>
      </w:pPr>
      <w:r>
        <w:rPr>
          <w:rFonts w:ascii="Times New Roman" w:hAnsi="Times New Roman" w:eastAsia="微软雅黑" w:cs="Times New Roman"/>
          <w:color w:val="000000"/>
          <w:kern w:val="0"/>
          <w:sz w:val="18"/>
          <w:szCs w:val="18"/>
          <w:lang w:bidi="ar"/>
        </w:rPr>
        <w:t>避免样品污染及皮肤直接接触试剂，实验时戴好手套、口罩。</w:t>
      </w:r>
    </w:p>
    <w:p w14:paraId="336F26B9">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ascii="Times New Roman" w:hAnsi="Times New Roman" w:eastAsia="微软雅黑" w:cs="Times New Roman"/>
          <w:color w:val="000000"/>
          <w:kern w:val="0"/>
          <w:sz w:val="18"/>
          <w:szCs w:val="18"/>
          <w:lang w:bidi="ar"/>
        </w:rPr>
      </w:pPr>
    </w:p>
    <w:p w14:paraId="4DA198F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微软雅黑" w:cs="Times New Roman"/>
          <w:color w:val="000000"/>
          <w:kern w:val="0"/>
          <w:sz w:val="18"/>
          <w:szCs w:val="18"/>
          <w:lang w:val="en-US" w:eastAsia="zh-CN" w:bidi="ar"/>
        </w:rPr>
      </w:pPr>
    </w:p>
    <w:p w14:paraId="34C1E01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ascii="Times New Roman" w:hAnsi="Times New Roman" w:eastAsia="微软雅黑" w:cs="Times New Roman"/>
          <w:color w:val="000000"/>
          <w:kern w:val="0"/>
          <w:sz w:val="18"/>
          <w:szCs w:val="18"/>
          <w:lang w:bidi="ar"/>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32C1E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noWrap w:val="0"/>
            <w:vAlign w:val="top"/>
          </w:tcPr>
          <w:p w14:paraId="0F99A157">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7"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32D9D3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375E2F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6DAB1BE3">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7D7016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440" w:right="1800" w:bottom="1440" w:left="1800"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E837B">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B6174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35B6174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align>center</wp:align>
          </wp:positionH>
          <wp:positionV relativeFrom="page">
            <wp:align>bottom</wp:align>
          </wp:positionV>
          <wp:extent cx="7559675" cy="1357630"/>
          <wp:effectExtent l="0" t="0" r="3175" b="1397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3A52F">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9A175F8"/>
    <w:rsid w:val="13AC0DFB"/>
    <w:rsid w:val="175003BD"/>
    <w:rsid w:val="1B372171"/>
    <w:rsid w:val="1BAF4D2D"/>
    <w:rsid w:val="1D2737FF"/>
    <w:rsid w:val="1EFC5E1C"/>
    <w:rsid w:val="22B82E1F"/>
    <w:rsid w:val="23895004"/>
    <w:rsid w:val="239D478B"/>
    <w:rsid w:val="2721574C"/>
    <w:rsid w:val="2C3924F7"/>
    <w:rsid w:val="2FFA371C"/>
    <w:rsid w:val="344F3FA7"/>
    <w:rsid w:val="35110539"/>
    <w:rsid w:val="37052D23"/>
    <w:rsid w:val="38045671"/>
    <w:rsid w:val="38871C41"/>
    <w:rsid w:val="3AFB06C4"/>
    <w:rsid w:val="3D2C6E4B"/>
    <w:rsid w:val="3F8F6DDC"/>
    <w:rsid w:val="41412BA9"/>
    <w:rsid w:val="42245A5E"/>
    <w:rsid w:val="42F655C2"/>
    <w:rsid w:val="46BC2F75"/>
    <w:rsid w:val="46EE732F"/>
    <w:rsid w:val="4C886703"/>
    <w:rsid w:val="4F8C1EF2"/>
    <w:rsid w:val="525723CF"/>
    <w:rsid w:val="52A5300F"/>
    <w:rsid w:val="532F4F57"/>
    <w:rsid w:val="5D1060D3"/>
    <w:rsid w:val="60A74B67"/>
    <w:rsid w:val="61F061FA"/>
    <w:rsid w:val="63F70CE7"/>
    <w:rsid w:val="65DB4D50"/>
    <w:rsid w:val="66EE57DC"/>
    <w:rsid w:val="682B0547"/>
    <w:rsid w:val="6B55614A"/>
    <w:rsid w:val="70785D38"/>
    <w:rsid w:val="75355FA6"/>
    <w:rsid w:val="7AF516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1387</Words>
  <Characters>2151</Characters>
  <Lines>0</Lines>
  <Paragraphs>0</Paragraphs>
  <TotalTime>0</TotalTime>
  <ScaleCrop>false</ScaleCrop>
  <LinksUpToDate>false</LinksUpToDate>
  <CharactersWithSpaces>2258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dcterms:modified xsi:type="dcterms:W3CDTF">2026-06-11T06:43:05Z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357C0BE53E4C457B851B6E0954D04871_13</vt:lpwstr>
  </property>
  <property fmtid="{D5CDD505-2E9C-101B-9397-08002B2CF9AE}" pid="4" name="KSOTemplateDocerSaveRecord">
    <vt:lpwstr>eyJoZGlkIjoiNGE4MmJmZWM4N2NmNzM0ODc5NTJkMGZhNzZhNmI2ZDgiLCJ1c2VySWQiOiI2OTYyMTYzMjYifQ==</vt:lpwstr>
  </property>
</Properties>
</file>