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AE3905">
      <w:pPr>
        <w:jc w:val="center"/>
        <w:rPr>
          <w:rFonts w:hint="eastAsia" w:ascii="微软雅黑" w:hAnsi="微软雅黑" w:eastAsia="微软雅黑" w:cs="微软雅黑"/>
          <w:b/>
          <w:bCs/>
          <w:sz w:val="32"/>
          <w:szCs w:val="32"/>
        </w:rPr>
      </w:pPr>
      <w:bookmarkStart w:id="0" w:name="_GoBack"/>
      <w:bookmarkEnd w:id="0"/>
      <w:r>
        <w:rPr>
          <w:rFonts w:hint="eastAsia" w:ascii="微软雅黑" w:hAnsi="微软雅黑" w:eastAsia="微软雅黑" w:cs="微软雅黑"/>
          <w:b/>
          <w:bCs/>
          <w:sz w:val="32"/>
          <w:szCs w:val="32"/>
        </w:rPr>
        <w:t>易肽</w:t>
      </w:r>
      <w:r>
        <w:rPr>
          <w:rFonts w:hint="eastAsia" w:ascii="微软雅黑" w:hAnsi="微软雅黑" w:eastAsia="微软雅黑" w:cs="微软雅黑"/>
          <w:b/>
          <w:bCs/>
          <w:sz w:val="32"/>
          <w:szCs w:val="32"/>
          <w:lang w:val="en-US" w:eastAsia="zh-CN"/>
        </w:rPr>
        <w:t>Ex 极微量蛋白</w:t>
      </w:r>
      <w:r>
        <w:rPr>
          <w:rFonts w:hint="eastAsia" w:ascii="微软雅黑" w:hAnsi="微软雅黑" w:eastAsia="微软雅黑" w:cs="微软雅黑"/>
          <w:b/>
          <w:bCs/>
          <w:sz w:val="32"/>
          <w:szCs w:val="32"/>
        </w:rPr>
        <w:t>前处理制备试剂盒</w:t>
      </w:r>
    </w:p>
    <w:p w14:paraId="1962F591">
      <w:pPr>
        <w:jc w:val="center"/>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货号：OSFP0004  规格：8x  版本号：V20260609</w:t>
      </w:r>
    </w:p>
    <w:p w14:paraId="233AF353">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91"/>
        <w:gridCol w:w="1481"/>
        <w:gridCol w:w="3731"/>
        <w:gridCol w:w="1916"/>
      </w:tblGrid>
      <w:tr w14:paraId="7C823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single" w:color="auto" w:sz="6" w:space="0"/>
              <w:bottom w:val="single" w:color="auto" w:sz="6" w:space="0"/>
            </w:tcBorders>
            <w:noWrap w:val="0"/>
            <w:vAlign w:val="center"/>
          </w:tcPr>
          <w:p w14:paraId="4973D5E1">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试剂名称</w:t>
            </w:r>
          </w:p>
        </w:tc>
        <w:tc>
          <w:tcPr>
            <w:tcW w:w="869" w:type="pct"/>
            <w:tcBorders>
              <w:top w:val="single" w:color="auto" w:sz="6" w:space="0"/>
              <w:bottom w:val="single" w:color="auto" w:sz="6" w:space="0"/>
            </w:tcBorders>
            <w:noWrap w:val="0"/>
            <w:vAlign w:val="center"/>
          </w:tcPr>
          <w:p w14:paraId="3ECB1A2D">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规格</w:t>
            </w:r>
          </w:p>
        </w:tc>
        <w:tc>
          <w:tcPr>
            <w:tcW w:w="2189" w:type="pct"/>
            <w:tcBorders>
              <w:top w:val="single" w:color="auto" w:sz="6" w:space="0"/>
              <w:bottom w:val="single" w:color="auto" w:sz="6" w:space="0"/>
            </w:tcBorders>
            <w:noWrap w:val="0"/>
            <w:vAlign w:val="center"/>
          </w:tcPr>
          <w:p w14:paraId="3AE4C977">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简   介</w:t>
            </w:r>
          </w:p>
        </w:tc>
        <w:tc>
          <w:tcPr>
            <w:tcW w:w="1124" w:type="pct"/>
            <w:tcBorders>
              <w:top w:val="single" w:color="auto" w:sz="6" w:space="0"/>
              <w:bottom w:val="single" w:color="auto" w:sz="6" w:space="0"/>
            </w:tcBorders>
            <w:noWrap w:val="0"/>
            <w:vAlign w:val="center"/>
          </w:tcPr>
          <w:p w14:paraId="5C572BD0">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储存条件</w:t>
            </w:r>
          </w:p>
        </w:tc>
      </w:tr>
      <w:tr w14:paraId="2C650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nil"/>
            </w:tcBorders>
            <w:noWrap w:val="0"/>
            <w:vAlign w:val="center"/>
          </w:tcPr>
          <w:p w14:paraId="327C4556">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A </w:t>
            </w:r>
            <w:r>
              <w:rPr>
                <w:rFonts w:hint="default" w:ascii="Times New Roman" w:hAnsi="Times New Roman" w:eastAsia="微软雅黑" w:cs="Times New Roman"/>
                <w:b w:val="0"/>
                <w:bCs w:val="0"/>
                <w:color w:val="843C0B"/>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869" w:type="pct"/>
            <w:tcBorders>
              <w:top w:val="nil"/>
              <w:bottom w:val="nil"/>
            </w:tcBorders>
            <w:noWrap w:val="0"/>
            <w:vAlign w:val="center"/>
          </w:tcPr>
          <w:p w14:paraId="0AE1B69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150 μl*1</w:t>
            </w:r>
          </w:p>
        </w:tc>
        <w:tc>
          <w:tcPr>
            <w:tcW w:w="2189" w:type="pct"/>
            <w:tcBorders>
              <w:top w:val="nil"/>
              <w:bottom w:val="nil"/>
            </w:tcBorders>
            <w:noWrap w:val="0"/>
            <w:vAlign w:val="center"/>
          </w:tcPr>
          <w:p w14:paraId="485AD5F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还原烷基化，蛋白质还原烷基化</w:t>
            </w:r>
          </w:p>
        </w:tc>
        <w:tc>
          <w:tcPr>
            <w:tcW w:w="1124" w:type="pct"/>
            <w:tcBorders>
              <w:top w:val="nil"/>
              <w:bottom w:val="nil"/>
            </w:tcBorders>
            <w:noWrap w:val="0"/>
            <w:vAlign w:val="center"/>
          </w:tcPr>
          <w:p w14:paraId="18E153C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773F9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nil"/>
            </w:tcBorders>
            <w:noWrap w:val="0"/>
            <w:vAlign w:val="center"/>
          </w:tcPr>
          <w:p w14:paraId="355BD708">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B</w:t>
            </w:r>
            <w:r>
              <w:rPr>
                <w:rFonts w:hint="default" w:ascii="Times New Roman" w:hAnsi="Times New Roman" w:eastAsia="微软雅黑" w:cs="Times New Roman"/>
                <w:b w:val="0"/>
                <w:bCs w:val="0"/>
                <w:sz w:val="18"/>
                <w:szCs w:val="18"/>
                <w:vertAlign w:val="baseline"/>
                <w:lang w:val="en-US" w:eastAsia="zh-CN"/>
              </w:rPr>
              <w:t xml:space="preserve"> </w:t>
            </w:r>
            <w:r>
              <w:rPr>
                <w:rFonts w:hint="default" w:ascii="Times New Roman" w:hAnsi="Times New Roman" w:eastAsia="微软雅黑" w:cs="Times New Roman"/>
                <w:b w:val="0"/>
                <w:bCs w:val="0"/>
                <w:color w:val="FF0000"/>
                <w:sz w:val="18"/>
                <w:szCs w:val="18"/>
                <w:vertAlign w:val="baseline"/>
                <w:lang w:val="en-US" w:eastAsia="zh-CN"/>
              </w:rPr>
              <w:t>●</w:t>
            </w:r>
          </w:p>
        </w:tc>
        <w:tc>
          <w:tcPr>
            <w:tcW w:w="869" w:type="pct"/>
            <w:tcBorders>
              <w:top w:val="nil"/>
              <w:bottom w:val="nil"/>
            </w:tcBorders>
            <w:noWrap w:val="0"/>
            <w:vAlign w:val="center"/>
          </w:tcPr>
          <w:p w14:paraId="07580C8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150μl*1</w:t>
            </w:r>
          </w:p>
        </w:tc>
        <w:tc>
          <w:tcPr>
            <w:tcW w:w="2189" w:type="pct"/>
            <w:tcBorders>
              <w:top w:val="nil"/>
              <w:bottom w:val="nil"/>
            </w:tcBorders>
            <w:noWrap w:val="0"/>
            <w:vAlign w:val="center"/>
          </w:tcPr>
          <w:p w14:paraId="22DE837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酶，蛋白酶解</w:t>
            </w:r>
          </w:p>
        </w:tc>
        <w:tc>
          <w:tcPr>
            <w:tcW w:w="1124" w:type="pct"/>
            <w:tcBorders>
              <w:top w:val="nil"/>
              <w:bottom w:val="nil"/>
            </w:tcBorders>
            <w:noWrap w:val="0"/>
            <w:vAlign w:val="center"/>
          </w:tcPr>
          <w:p w14:paraId="23D18A5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1E31C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nil"/>
            </w:tcBorders>
            <w:noWrap w:val="0"/>
            <w:vAlign w:val="center"/>
          </w:tcPr>
          <w:p w14:paraId="254644B2">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C </w:t>
            </w:r>
            <w:r>
              <w:rPr>
                <w:rFonts w:hint="default" w:ascii="Times New Roman" w:hAnsi="Times New Roman" w:eastAsia="微软雅黑" w:cs="Times New Roman"/>
                <w:b w:val="0"/>
                <w:bCs w:val="0"/>
                <w:color w:val="auto"/>
                <w:sz w:val="18"/>
                <w:szCs w:val="18"/>
                <w:vertAlign w:val="baseline"/>
                <w:lang w:val="en-US" w:eastAsia="zh-CN"/>
              </w:rPr>
              <w:t>●</w:t>
            </w:r>
          </w:p>
        </w:tc>
        <w:tc>
          <w:tcPr>
            <w:tcW w:w="869" w:type="pct"/>
            <w:tcBorders>
              <w:top w:val="nil"/>
              <w:bottom w:val="nil"/>
            </w:tcBorders>
            <w:noWrap w:val="0"/>
            <w:vAlign w:val="center"/>
          </w:tcPr>
          <w:p w14:paraId="0728ADA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30μl*1</w:t>
            </w:r>
          </w:p>
        </w:tc>
        <w:tc>
          <w:tcPr>
            <w:tcW w:w="2189" w:type="pct"/>
            <w:tcBorders>
              <w:top w:val="nil"/>
              <w:bottom w:val="nil"/>
            </w:tcBorders>
            <w:noWrap w:val="0"/>
            <w:vAlign w:val="center"/>
          </w:tcPr>
          <w:p w14:paraId="6A20EC7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终止试剂，终止酶解反应</w:t>
            </w:r>
          </w:p>
        </w:tc>
        <w:tc>
          <w:tcPr>
            <w:tcW w:w="1124" w:type="pct"/>
            <w:tcBorders>
              <w:top w:val="nil"/>
              <w:bottom w:val="nil"/>
            </w:tcBorders>
            <w:noWrap w:val="0"/>
            <w:vAlign w:val="center"/>
          </w:tcPr>
          <w:p w14:paraId="3D319F2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30B48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single" w:color="auto" w:sz="4" w:space="0"/>
            </w:tcBorders>
            <w:noWrap w:val="0"/>
            <w:vAlign w:val="center"/>
          </w:tcPr>
          <w:p w14:paraId="51871CB6">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Cartridge</w:t>
            </w:r>
          </w:p>
        </w:tc>
        <w:tc>
          <w:tcPr>
            <w:tcW w:w="869" w:type="pct"/>
            <w:tcBorders>
              <w:top w:val="nil"/>
              <w:bottom w:val="single" w:color="auto" w:sz="4" w:space="0"/>
            </w:tcBorders>
            <w:noWrap w:val="0"/>
            <w:vAlign w:val="center"/>
          </w:tcPr>
          <w:p w14:paraId="33A38A86">
            <w:pPr>
              <w:spacing w:line="360" w:lineRule="auto"/>
              <w:jc w:val="center"/>
              <w:rPr>
                <w:rFonts w:hint="default"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val="en-US" w:eastAsia="zh-CN"/>
              </w:rPr>
              <w:t>10</w:t>
            </w:r>
            <w:r>
              <w:rPr>
                <w:rFonts w:hint="default" w:ascii="Times New Roman" w:hAnsi="Times New Roman" w:eastAsia="微软雅黑" w:cs="Times New Roman"/>
                <w:sz w:val="18"/>
                <w:szCs w:val="18"/>
              </w:rPr>
              <w:t>μg载量*8</w:t>
            </w:r>
          </w:p>
        </w:tc>
        <w:tc>
          <w:tcPr>
            <w:tcW w:w="2189" w:type="pct"/>
            <w:tcBorders>
              <w:top w:val="nil"/>
              <w:bottom w:val="single" w:color="auto" w:sz="4" w:space="0"/>
            </w:tcBorders>
            <w:noWrap w:val="0"/>
            <w:vAlign w:val="center"/>
          </w:tcPr>
          <w:p w14:paraId="268D3490">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肽段脱盐</w:t>
            </w:r>
          </w:p>
        </w:tc>
        <w:tc>
          <w:tcPr>
            <w:tcW w:w="1124" w:type="pct"/>
            <w:tcBorders>
              <w:top w:val="nil"/>
              <w:bottom w:val="single" w:color="auto" w:sz="4" w:space="0"/>
            </w:tcBorders>
            <w:noWrap w:val="0"/>
            <w:vAlign w:val="center"/>
          </w:tcPr>
          <w:p w14:paraId="04B43678">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常温</w:t>
            </w:r>
          </w:p>
        </w:tc>
      </w:tr>
    </w:tbl>
    <w:p w14:paraId="528F1A2E">
      <w:pPr>
        <w:numPr>
          <w:ilvl w:val="0"/>
          <w:numId w:val="0"/>
        </w:numPr>
        <w:spacing w:line="240" w:lineRule="auto"/>
        <w:ind w:leftChars="0"/>
        <w:rPr>
          <w:rFonts w:hint="eastAsia" w:ascii="微软雅黑" w:hAnsi="微软雅黑" w:eastAsia="微软雅黑" w:cs="微软雅黑"/>
          <w:b/>
          <w:bCs/>
          <w:sz w:val="21"/>
          <w:szCs w:val="21"/>
          <w:lang w:val="en-US" w:eastAsia="zh-CN"/>
        </w:rPr>
      </w:pPr>
    </w:p>
    <w:p w14:paraId="02947E95">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727830A4">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样品制备是蛋白质组学实验最重要的步骤之一，合适的前处理过程是实验成功的关键。</w:t>
      </w:r>
    </w:p>
    <w:p w14:paraId="7D596775">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易肽Ex极微量蛋白前处理制备试剂盒旨在以较少的样品制备步骤和较短的操作时间以获得最佳的实验结果。适用范围约100-10000个细胞或相当的蛋白量样本。该试剂盒提供蛋白制备包括蛋白变性、还原烷基化、蛋白酶解以及肽段脱盐过程的相关试剂。基于溶液内快速酶解的前处理方法，解决了传统方法损失大、耗时长的弊端，仅需2-3小时即可完成质谱检测前的所有步骤，且平行性好，以实现极微量蛋白的快速制备及蛋白质组深度覆盖检测。</w:t>
      </w:r>
    </w:p>
    <w:p w14:paraId="5DED1966">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265420" cy="1790700"/>
            <wp:effectExtent l="0" t="0" r="11430" b="0"/>
            <wp:docPr id="1" name="图片 6" descr="极微量8X白色除盐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极微量8X白色除盐头"/>
                    <pic:cNvPicPr>
                      <a:picLocks noChangeAspect="1"/>
                    </pic:cNvPicPr>
                  </pic:nvPicPr>
                  <pic:blipFill>
                    <a:blip r:embed="rId6"/>
                    <a:stretch>
                      <a:fillRect/>
                    </a:stretch>
                  </pic:blipFill>
                  <pic:spPr>
                    <a:xfrm>
                      <a:off x="0" y="0"/>
                      <a:ext cx="5265420" cy="1790700"/>
                    </a:xfrm>
                    <a:prstGeom prst="rect">
                      <a:avLst/>
                    </a:prstGeom>
                    <a:noFill/>
                    <a:ln>
                      <a:noFill/>
                    </a:ln>
                  </pic:spPr>
                </pic:pic>
              </a:graphicData>
            </a:graphic>
          </wp:inline>
        </w:drawing>
      </w:r>
    </w:p>
    <w:p w14:paraId="6EFA0664">
      <w:pPr>
        <w:jc w:val="left"/>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lang w:val="en-US" w:eastAsia="zh-CN"/>
        </w:rPr>
        <w:t>参考文献：</w:t>
      </w:r>
    </w:p>
    <w:p w14:paraId="66CE7DDF">
      <w:pPr>
        <w:jc w:val="left"/>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Shuang Yang, Yueting Xiong, Yang Du, Ya-Jun Wang, Lei Zhang, Fenglin Shen, Yan-Jun Liu, Xiaohui Liu, and Pengyuan Yang. (2022). Ultrasensitive Trace Sample Proteomics Unraveled the Protein Remodeling during Mesenchymal–Amoeboid Transition. Analytical Chemistry, 94 (2), 768-776.</w:t>
      </w:r>
    </w:p>
    <w:p w14:paraId="075AE50D">
      <w:pPr>
        <w:jc w:val="left"/>
        <w:rPr>
          <w:rFonts w:hint="eastAsia" w:ascii="Times New Roman" w:hAnsi="Times New Roman" w:eastAsia="微软雅黑" w:cs="Times New Roman"/>
          <w:sz w:val="18"/>
          <w:szCs w:val="18"/>
          <w:lang w:val="en-US" w:eastAsia="zh-CN"/>
        </w:rPr>
      </w:pPr>
    </w:p>
    <w:p w14:paraId="0CD9904E">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需要准备的试剂耗材</w:t>
      </w:r>
    </w:p>
    <w:p w14:paraId="1DAEA615">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3.1 设备</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0"/>
        <w:gridCol w:w="1401"/>
        <w:gridCol w:w="5548"/>
      </w:tblGrid>
      <w:tr w14:paraId="09D89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6" w:space="0"/>
              <w:bottom w:val="single" w:color="auto" w:sz="4" w:space="0"/>
            </w:tcBorders>
            <w:noWrap w:val="0"/>
            <w:vAlign w:val="center"/>
          </w:tcPr>
          <w:p w14:paraId="6F505C86">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noWrap w:val="0"/>
            <w:vAlign w:val="center"/>
          </w:tcPr>
          <w:p w14:paraId="0C80352A">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noWrap w:val="0"/>
            <w:vAlign w:val="center"/>
          </w:tcPr>
          <w:p w14:paraId="4FD196DE">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5A40E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noWrap w:val="0"/>
            <w:vAlign w:val="center"/>
          </w:tcPr>
          <w:p w14:paraId="449E5E2C">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noWrap w:val="0"/>
            <w:vAlign w:val="center"/>
          </w:tcPr>
          <w:p w14:paraId="0735EDAA">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81000" cy="49530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7"/>
                          <a:stretch>
                            <a:fillRect/>
                          </a:stretch>
                        </pic:blipFill>
                        <pic:spPr>
                          <a:xfrm>
                            <a:off x="0" y="0"/>
                            <a:ext cx="381000" cy="495300"/>
                          </a:xfrm>
                          <a:prstGeom prst="rect">
                            <a:avLst/>
                          </a:prstGeom>
                          <a:noFill/>
                          <a:ln>
                            <a:noFill/>
                          </a:ln>
                        </pic:spPr>
                      </pic:pic>
                    </a:graphicData>
                  </a:graphic>
                </wp:inline>
              </w:drawing>
            </w:r>
          </w:p>
        </w:tc>
        <w:tc>
          <w:tcPr>
            <w:tcW w:w="3256" w:type="pct"/>
            <w:tcBorders>
              <w:top w:val="single" w:color="auto" w:sz="4" w:space="0"/>
              <w:bottom w:val="nil"/>
            </w:tcBorders>
            <w:noWrap w:val="0"/>
            <w:vAlign w:val="center"/>
          </w:tcPr>
          <w:p w14:paraId="4535AFC1">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622B9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noWrap w:val="0"/>
            <w:vAlign w:val="center"/>
          </w:tcPr>
          <w:p w14:paraId="6D155208">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noWrap w:val="0"/>
            <w:vAlign w:val="center"/>
          </w:tcPr>
          <w:p w14:paraId="12681F87">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9600" cy="508000"/>
                  <wp:effectExtent l="0" t="0" r="0" b="6350"/>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8"/>
                          <a:stretch>
                            <a:fillRect/>
                          </a:stretch>
                        </pic:blipFill>
                        <pic:spPr>
                          <a:xfrm>
                            <a:off x="0" y="0"/>
                            <a:ext cx="609600" cy="508000"/>
                          </a:xfrm>
                          <a:prstGeom prst="rect">
                            <a:avLst/>
                          </a:prstGeom>
                          <a:noFill/>
                          <a:ln>
                            <a:noFill/>
                          </a:ln>
                        </pic:spPr>
                      </pic:pic>
                    </a:graphicData>
                  </a:graphic>
                </wp:inline>
              </w:drawing>
            </w:r>
          </w:p>
        </w:tc>
        <w:tc>
          <w:tcPr>
            <w:tcW w:w="3256" w:type="pct"/>
            <w:tcBorders>
              <w:top w:val="nil"/>
              <w:bottom w:val="nil"/>
            </w:tcBorders>
            <w:noWrap w:val="0"/>
            <w:vAlign w:val="center"/>
          </w:tcPr>
          <w:p w14:paraId="5BFA2C42">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0BB5F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noWrap w:val="0"/>
            <w:vAlign w:val="center"/>
          </w:tcPr>
          <w:p w14:paraId="72C24A0C">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noWrap w:val="0"/>
            <w:vAlign w:val="center"/>
          </w:tcPr>
          <w:p w14:paraId="769B41D3">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33400" cy="723900"/>
                  <wp:effectExtent l="0" t="0" r="0" b="0"/>
                  <wp:docPr id="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pic:cNvPicPr>
                            <a:picLocks noChangeAspect="1"/>
                          </pic:cNvPicPr>
                        </pic:nvPicPr>
                        <pic:blipFill>
                          <a:blip r:embed="rId9"/>
                          <a:stretch>
                            <a:fillRect/>
                          </a:stretch>
                        </pic:blipFill>
                        <pic:spPr>
                          <a:xfrm>
                            <a:off x="0" y="0"/>
                            <a:ext cx="533400" cy="723900"/>
                          </a:xfrm>
                          <a:prstGeom prst="rect">
                            <a:avLst/>
                          </a:prstGeom>
                          <a:noFill/>
                          <a:ln>
                            <a:noFill/>
                          </a:ln>
                        </pic:spPr>
                      </pic:pic>
                    </a:graphicData>
                  </a:graphic>
                </wp:inline>
              </w:drawing>
            </w:r>
          </w:p>
        </w:tc>
        <w:tc>
          <w:tcPr>
            <w:tcW w:w="3256" w:type="pct"/>
            <w:tcBorders>
              <w:top w:val="nil"/>
              <w:bottom w:val="nil"/>
            </w:tcBorders>
            <w:noWrap w:val="0"/>
            <w:vAlign w:val="center"/>
          </w:tcPr>
          <w:p w14:paraId="2D05622F">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冷冻离心机用于蛋白提取，常温离心机用于肽段脱盐，适配器支持1.5/2ml离心管</w:t>
            </w:r>
          </w:p>
        </w:tc>
      </w:tr>
      <w:tr w14:paraId="3024B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single" w:color="auto" w:sz="4" w:space="0"/>
            </w:tcBorders>
            <w:noWrap w:val="0"/>
            <w:vAlign w:val="center"/>
          </w:tcPr>
          <w:p w14:paraId="18B47CD8">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single" w:color="auto" w:sz="4" w:space="0"/>
            </w:tcBorders>
            <w:noWrap w:val="0"/>
            <w:vAlign w:val="center"/>
          </w:tcPr>
          <w:p w14:paraId="0CF71A14">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rPr>
              <w:drawing>
                <wp:inline distT="0" distB="0" distL="114300" distR="114300">
                  <wp:extent cx="759460" cy="937895"/>
                  <wp:effectExtent l="0" t="0" r="2540" b="14605"/>
                  <wp:docPr id="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pic:cNvPicPr>
                            <a:picLocks noChangeAspect="1"/>
                          </pic:cNvPicPr>
                        </pic:nvPicPr>
                        <pic:blipFill>
                          <a:blip r:embed="rId10"/>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noWrap w:val="0"/>
            <w:vAlign w:val="center"/>
          </w:tcPr>
          <w:p w14:paraId="166DB23D">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6C84FCFE">
      <w:pPr>
        <w:spacing w:line="240" w:lineRule="auto"/>
        <w:rPr>
          <w:rFonts w:ascii="Times New Roman" w:hAnsi="Times New Roman" w:eastAsia="微软雅黑" w:cs="Times New Roman"/>
          <w:b/>
          <w:bCs/>
          <w:sz w:val="21"/>
          <w:szCs w:val="21"/>
        </w:rPr>
      </w:pPr>
    </w:p>
    <w:p w14:paraId="00402D1F">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3.2 试剂</w:t>
      </w:r>
    </w:p>
    <w:p w14:paraId="7E27F589">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Trifluoroacetic acid (TFA)  </w:t>
      </w:r>
    </w:p>
    <w:p w14:paraId="4B468090">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Acetonitrile (ACN), LC-MS Grade </w:t>
      </w:r>
    </w:p>
    <w:p w14:paraId="69BE9039">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Water, LC-MS Grade  </w:t>
      </w:r>
    </w:p>
    <w:p w14:paraId="071514C1">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Methanol (MeOH), Optima™ LC-MS Grade </w:t>
      </w:r>
    </w:p>
    <w:p w14:paraId="6BB83EE0">
      <w:pPr>
        <w:widowControl/>
        <w:numPr>
          <w:ilvl w:val="0"/>
          <w:numId w:val="2"/>
        </w:numPr>
        <w:spacing w:line="240" w:lineRule="auto"/>
        <w:jc w:val="left"/>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Low Protein Binding Microcentrifuge Tubes, 2.0 mL/1.5mL</w:t>
      </w:r>
    </w:p>
    <w:p w14:paraId="3D548714">
      <w:pPr>
        <w:widowControl/>
        <w:numPr>
          <w:ilvl w:val="0"/>
          <w:numId w:val="0"/>
        </w:numPr>
        <w:spacing w:line="240" w:lineRule="auto"/>
        <w:jc w:val="left"/>
        <w:rPr>
          <w:rFonts w:ascii="Times New Roman" w:hAnsi="Times New Roman" w:eastAsia="微软雅黑" w:cs="Times New Roman"/>
          <w:color w:val="000000"/>
          <w:kern w:val="0"/>
          <w:sz w:val="21"/>
          <w:szCs w:val="21"/>
          <w:lang w:bidi="ar"/>
        </w:rPr>
      </w:pPr>
    </w:p>
    <w:p w14:paraId="36D2D499">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4. 试剂准备</w:t>
      </w:r>
    </w:p>
    <w:p w14:paraId="262C0B9D">
      <w:pPr>
        <w:widowControl/>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Condition buffer：</w:t>
      </w:r>
      <w:r>
        <w:rPr>
          <w:rFonts w:ascii="Times New Roman" w:hAnsi="Times New Roman" w:eastAsia="微软雅黑" w:cs="Times New Roman"/>
          <w:color w:val="000000"/>
          <w:kern w:val="0"/>
          <w:sz w:val="21"/>
          <w:szCs w:val="21"/>
          <w:lang w:bidi="ar"/>
        </w:rPr>
        <w:t>70%ACN，0.2%TFA，每个样本需要100μl，2μl TFA加入到298μl超纯水和700μl无水乙腈中，混匀；</w:t>
      </w:r>
    </w:p>
    <w:p w14:paraId="121AEF00">
      <w:pPr>
        <w:widowControl/>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Wash buffer：</w:t>
      </w:r>
      <w:r>
        <w:rPr>
          <w:rFonts w:ascii="Times New Roman" w:hAnsi="Times New Roman" w:eastAsia="微软雅黑" w:cs="Times New Roman"/>
          <w:color w:val="000000"/>
          <w:kern w:val="0"/>
          <w:sz w:val="21"/>
          <w:szCs w:val="21"/>
          <w:lang w:bidi="ar"/>
        </w:rPr>
        <w:t>0.2%TFA，每个样本需要300μl</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color w:val="000000"/>
          <w:kern w:val="0"/>
          <w:sz w:val="21"/>
          <w:szCs w:val="21"/>
          <w:lang w:val="en-US" w:eastAsia="zh-CN" w:bidi="ar"/>
        </w:rPr>
        <w:t>6</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2.994m</w:t>
      </w:r>
      <w:r>
        <w:rPr>
          <w:rFonts w:ascii="Times New Roman" w:hAnsi="Times New Roman" w:eastAsia="微软雅黑" w:cs="Times New Roman"/>
          <w:color w:val="000000"/>
          <w:kern w:val="0"/>
          <w:sz w:val="21"/>
          <w:szCs w:val="21"/>
          <w:lang w:bidi="ar"/>
        </w:rPr>
        <w:t>l超纯水，混匀；</w:t>
      </w:r>
    </w:p>
    <w:p w14:paraId="51A1D511">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Elution buffer：</w:t>
      </w:r>
      <w:r>
        <w:rPr>
          <w:rFonts w:ascii="Times New Roman" w:hAnsi="Times New Roman" w:eastAsia="微软雅黑" w:cs="Times New Roman"/>
          <w:color w:val="000000"/>
          <w:kern w:val="0"/>
          <w:sz w:val="21"/>
          <w:szCs w:val="21"/>
          <w:lang w:bidi="ar"/>
        </w:rPr>
        <w:t>90%ACN，0.2%TFA，每个样本需要</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0μl，2μl TFA加入到98μl超纯水和900μl无水乙腈中，混匀。</w:t>
      </w:r>
    </w:p>
    <w:p w14:paraId="34083D92">
      <w:pPr>
        <w:spacing w:line="240" w:lineRule="auto"/>
        <w:rPr>
          <w:rFonts w:ascii="Times New Roman" w:hAnsi="Times New Roman" w:eastAsia="微软雅黑" w:cs="Times New Roman"/>
          <w:color w:val="000000"/>
          <w:kern w:val="0"/>
          <w:sz w:val="21"/>
          <w:szCs w:val="21"/>
          <w:lang w:bidi="ar"/>
        </w:rPr>
      </w:pPr>
    </w:p>
    <w:p w14:paraId="6CCBE8AD">
      <w:pPr>
        <w:spacing w:line="240" w:lineRule="auto"/>
        <w:rPr>
          <w:rFonts w:ascii="Times New Roman" w:hAnsi="Times New Roman" w:eastAsia="微软雅黑" w:cs="Times New Roman"/>
          <w:color w:val="FF0000"/>
          <w:kern w:val="0"/>
          <w:sz w:val="21"/>
          <w:szCs w:val="21"/>
          <w:lang w:bidi="ar"/>
        </w:rPr>
      </w:pPr>
      <w:r>
        <w:rPr>
          <w:rFonts w:ascii="Times New Roman" w:hAnsi="Times New Roman" w:eastAsia="微软雅黑" w:cs="Times New Roman"/>
          <w:b/>
          <w:bCs/>
          <w:sz w:val="21"/>
          <w:szCs w:val="21"/>
        </w:rPr>
        <w:t>5. 操作过程</w:t>
      </w:r>
    </w:p>
    <w:p w14:paraId="627B1061">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w:t>
      </w:r>
      <w:r>
        <w:rPr>
          <w:rFonts w:hint="eastAsia" w:ascii="Times New Roman" w:hAnsi="Times New Roman" w:eastAsia="微软雅黑" w:cs="Times New Roman"/>
          <w:b/>
          <w:bCs/>
          <w:sz w:val="21"/>
          <w:szCs w:val="21"/>
          <w:lang w:val="en-US" w:eastAsia="zh-CN"/>
        </w:rPr>
        <w:t>1</w:t>
      </w:r>
      <w:r>
        <w:rPr>
          <w:rFonts w:ascii="Times New Roman" w:hAnsi="Times New Roman" w:eastAsia="微软雅黑" w:cs="Times New Roman"/>
          <w:b/>
          <w:bCs/>
          <w:sz w:val="21"/>
          <w:szCs w:val="21"/>
        </w:rPr>
        <w:t xml:space="preserve"> 蛋白酶解</w:t>
      </w:r>
    </w:p>
    <w:p w14:paraId="6323FFAB">
      <w:pPr>
        <w:spacing w:line="240" w:lineRule="auto"/>
        <w:rPr>
          <w:rFonts w:hint="eastAsia"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a. 取100-10000个细胞置于PBS体系中</w:t>
      </w:r>
      <w:r>
        <w:rPr>
          <w:rFonts w:hint="eastAsia" w:ascii="Times New Roman" w:hAnsi="Times New Roman" w:eastAsia="微软雅黑" w:cs="Times New Roman"/>
          <w:color w:val="FF0000"/>
          <w:kern w:val="0"/>
          <w:sz w:val="21"/>
          <w:szCs w:val="21"/>
          <w:lang w:bidi="ar"/>
        </w:rPr>
        <w:t>（建议PBS体积不要超过5</w:t>
      </w:r>
      <w:r>
        <w:rPr>
          <w:rFonts w:hint="default" w:ascii="Times New Roman" w:hAnsi="Times New Roman" w:eastAsia="微软雅黑" w:cs="Times New Roman"/>
          <w:color w:val="FF0000"/>
          <w:kern w:val="0"/>
          <w:sz w:val="21"/>
          <w:szCs w:val="21"/>
          <w:lang w:bidi="ar"/>
        </w:rPr>
        <w:t>μ</w:t>
      </w:r>
      <w:r>
        <w:rPr>
          <w:rFonts w:hint="eastAsia" w:ascii="Times New Roman" w:hAnsi="Times New Roman" w:eastAsia="微软雅黑" w:cs="Times New Roman"/>
          <w:color w:val="FF0000"/>
          <w:kern w:val="0"/>
          <w:sz w:val="21"/>
          <w:szCs w:val="21"/>
          <w:lang w:bidi="ar"/>
        </w:rPr>
        <w:t>L，采用0.5ml 低吸附EP管）</w:t>
      </w:r>
      <w:r>
        <w:rPr>
          <w:rFonts w:hint="eastAsia" w:ascii="Times New Roman" w:hAnsi="Times New Roman" w:eastAsia="微软雅黑" w:cs="Times New Roman"/>
          <w:color w:val="000000"/>
          <w:kern w:val="0"/>
          <w:sz w:val="21"/>
          <w:szCs w:val="21"/>
          <w:lang w:bidi="ar"/>
        </w:rPr>
        <w:t>；</w:t>
      </w:r>
    </w:p>
    <w:p w14:paraId="2D7AB0E6">
      <w:pPr>
        <w:spacing w:line="240" w:lineRule="auto"/>
        <w:rPr>
          <w:rFonts w:hint="eastAsia"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b. 加入</w:t>
      </w:r>
      <w:r>
        <w:rPr>
          <w:rFonts w:hint="eastAsia" w:ascii="Times New Roman" w:hAnsi="Times New Roman" w:eastAsia="微软雅黑" w:cs="Times New Roman"/>
          <w:color w:val="000000"/>
          <w:kern w:val="0"/>
          <w:sz w:val="21"/>
          <w:szCs w:val="21"/>
          <w:lang w:val="en-US" w:eastAsia="zh-CN" w:bidi="ar"/>
        </w:rPr>
        <w:t>15</w:t>
      </w:r>
      <w:r>
        <w:rPr>
          <w:rFonts w:hint="default" w:ascii="Times New Roman" w:hAnsi="Times New Roman" w:eastAsia="微软雅黑" w:cs="Times New Roman"/>
          <w:color w:val="000000"/>
          <w:kern w:val="0"/>
          <w:sz w:val="21"/>
          <w:szCs w:val="21"/>
          <w:lang w:bidi="ar"/>
        </w:rPr>
        <w:t xml:space="preserve"> μl</w:t>
      </w:r>
      <w:r>
        <w:rPr>
          <w:rFonts w:hint="eastAsia" w:ascii="Times New Roman" w:hAnsi="Times New Roman" w:eastAsia="微软雅黑" w:cs="Times New Roman"/>
          <w:color w:val="000000"/>
          <w:kern w:val="0"/>
          <w:sz w:val="21"/>
          <w:szCs w:val="21"/>
          <w:lang w:bidi="ar"/>
        </w:rPr>
        <w:t>试剂A ，吹打混匀</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color w:val="000000"/>
          <w:kern w:val="0"/>
          <w:sz w:val="21"/>
          <w:szCs w:val="21"/>
          <w:lang w:bidi="ar"/>
        </w:rPr>
        <w:t>95</w:t>
      </w:r>
      <w:r>
        <w:rPr>
          <w:rFonts w:hint="default"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bidi="ar"/>
        </w:rPr>
        <w:t>加热5min（95</w:t>
      </w:r>
      <w:r>
        <w:rPr>
          <w:rFonts w:hint="default"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bidi="ar"/>
        </w:rPr>
        <w:t>，1000rpm）；</w:t>
      </w:r>
    </w:p>
    <w:p w14:paraId="382DE77B">
      <w:pPr>
        <w:spacing w:line="240" w:lineRule="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FF0000"/>
          <w:kern w:val="0"/>
          <w:sz w:val="21"/>
          <w:szCs w:val="21"/>
          <w:lang w:val="en-US" w:eastAsia="zh-CN" w:bidi="ar"/>
        </w:rPr>
        <w:t>注意：如果微量组织样本建议加入试剂A后可采用非接触式超声仪辅助样本裂解，然后进行95</w:t>
      </w:r>
      <w:r>
        <w:rPr>
          <w:rFonts w:hint="default" w:ascii="Times New Roman" w:hAnsi="Times New Roman" w:eastAsia="微软雅黑" w:cs="Times New Roman"/>
          <w:color w:val="FF0000"/>
          <w:kern w:val="0"/>
          <w:sz w:val="21"/>
          <w:szCs w:val="21"/>
          <w:lang w:val="en-US" w:eastAsia="zh-CN" w:bidi="ar"/>
        </w:rPr>
        <w:t>℃</w:t>
      </w:r>
      <w:r>
        <w:rPr>
          <w:rFonts w:hint="eastAsia" w:ascii="Times New Roman" w:hAnsi="Times New Roman" w:eastAsia="微软雅黑" w:cs="Times New Roman"/>
          <w:color w:val="FF0000"/>
          <w:kern w:val="0"/>
          <w:sz w:val="21"/>
          <w:szCs w:val="21"/>
          <w:lang w:val="en-US" w:eastAsia="zh-CN" w:bidi="ar"/>
        </w:rPr>
        <w:t>加热5min。</w:t>
      </w:r>
    </w:p>
    <w:p w14:paraId="4F8F7A73">
      <w:pPr>
        <w:spacing w:line="240" w:lineRule="auto"/>
        <w:rPr>
          <w:rFonts w:hint="eastAsia"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c</w:t>
      </w:r>
      <w:r>
        <w:rPr>
          <w:rFonts w:hint="eastAsia" w:ascii="Times New Roman" w:hAnsi="Times New Roman" w:eastAsia="微软雅黑" w:cs="Times New Roman"/>
          <w:color w:val="000000"/>
          <w:kern w:val="0"/>
          <w:sz w:val="21"/>
          <w:szCs w:val="21"/>
          <w:lang w:bidi="ar"/>
        </w:rPr>
        <w:t>. 加热结束待样品恢复至室温后，加入</w:t>
      </w:r>
      <w:r>
        <w:rPr>
          <w:rFonts w:hint="eastAsia" w:ascii="Times New Roman" w:hAnsi="Times New Roman" w:eastAsia="微软雅黑" w:cs="Times New Roman"/>
          <w:color w:val="000000"/>
          <w:kern w:val="0"/>
          <w:sz w:val="21"/>
          <w:szCs w:val="21"/>
          <w:lang w:val="en-US" w:eastAsia="zh-CN" w:bidi="ar"/>
        </w:rPr>
        <w:t>1</w:t>
      </w:r>
      <w:r>
        <w:rPr>
          <w:rFonts w:hint="eastAsia" w:ascii="Times New Roman" w:hAnsi="Times New Roman" w:eastAsia="微软雅黑" w:cs="Times New Roman"/>
          <w:color w:val="000000"/>
          <w:kern w:val="0"/>
          <w:sz w:val="21"/>
          <w:szCs w:val="21"/>
          <w:lang w:bidi="ar"/>
        </w:rPr>
        <w:t xml:space="preserve">5 </w:t>
      </w:r>
      <w:r>
        <w:rPr>
          <w:rFonts w:hint="default" w:ascii="Times New Roman" w:hAnsi="Times New Roman" w:eastAsia="微软雅黑" w:cs="Times New Roman"/>
          <w:color w:val="000000"/>
          <w:kern w:val="0"/>
          <w:sz w:val="21"/>
          <w:szCs w:val="21"/>
          <w:lang w:bidi="ar"/>
        </w:rPr>
        <w:t>μl</w:t>
      </w:r>
      <w:r>
        <w:rPr>
          <w:rFonts w:hint="eastAsia" w:ascii="Times New Roman" w:hAnsi="Times New Roman" w:eastAsia="微软雅黑" w:cs="Times New Roman"/>
          <w:color w:val="000000"/>
          <w:kern w:val="0"/>
          <w:sz w:val="21"/>
          <w:szCs w:val="21"/>
          <w:lang w:bidi="ar"/>
        </w:rPr>
        <w:t>试剂</w:t>
      </w:r>
      <w:r>
        <w:rPr>
          <w:rFonts w:hint="eastAsia" w:ascii="Times New Roman" w:hAnsi="Times New Roman" w:eastAsia="微软雅黑" w:cs="Times New Roman"/>
          <w:color w:val="000000"/>
          <w:kern w:val="0"/>
          <w:sz w:val="21"/>
          <w:szCs w:val="21"/>
          <w:lang w:val="en-US" w:eastAsia="zh-CN" w:bidi="ar"/>
        </w:rPr>
        <w:t>B</w:t>
      </w:r>
      <w:r>
        <w:rPr>
          <w:rFonts w:hint="eastAsia" w:ascii="Times New Roman" w:hAnsi="Times New Roman" w:eastAsia="微软雅黑" w:cs="Times New Roman"/>
          <w:color w:val="000000"/>
          <w:kern w:val="0"/>
          <w:sz w:val="21"/>
          <w:szCs w:val="21"/>
          <w:lang w:bidi="ar"/>
        </w:rPr>
        <w:t>，混匀，37℃酶解2 h（</w:t>
      </w:r>
      <w:r>
        <w:rPr>
          <w:rFonts w:hint="eastAsia" w:ascii="Times New Roman" w:hAnsi="Times New Roman" w:eastAsia="微软雅黑" w:cs="Times New Roman"/>
          <w:color w:val="000000"/>
          <w:kern w:val="0"/>
          <w:sz w:val="21"/>
          <w:szCs w:val="21"/>
          <w:lang w:val="en-US" w:eastAsia="zh-CN" w:bidi="ar"/>
        </w:rPr>
        <w:t>37</w:t>
      </w:r>
      <w:r>
        <w:rPr>
          <w:rFonts w:hint="default"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bidi="ar"/>
        </w:rPr>
        <w:t>，1000rpm）；</w:t>
      </w:r>
    </w:p>
    <w:p w14:paraId="4CC710C0">
      <w:pPr>
        <w:spacing w:line="240" w:lineRule="auto"/>
        <w:rPr>
          <w:rFonts w:hint="eastAsia"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d</w:t>
      </w:r>
      <w:r>
        <w:rPr>
          <w:rFonts w:hint="eastAsia" w:ascii="Times New Roman" w:hAnsi="Times New Roman" w:eastAsia="微软雅黑" w:cs="Times New Roman"/>
          <w:color w:val="000000"/>
          <w:kern w:val="0"/>
          <w:sz w:val="21"/>
          <w:szCs w:val="21"/>
          <w:lang w:bidi="ar"/>
        </w:rPr>
        <w:t>. 酶解结束后加入</w:t>
      </w:r>
      <w:r>
        <w:rPr>
          <w:rFonts w:hint="eastAsia" w:ascii="Times New Roman" w:hAnsi="Times New Roman" w:eastAsia="微软雅黑" w:cs="Times New Roman"/>
          <w:color w:val="000000"/>
          <w:kern w:val="0"/>
          <w:sz w:val="21"/>
          <w:szCs w:val="21"/>
          <w:lang w:val="en-US" w:eastAsia="zh-CN" w:bidi="ar"/>
        </w:rPr>
        <w:t>3</w:t>
      </w:r>
      <w:r>
        <w:rPr>
          <w:rFonts w:hint="default" w:ascii="Times New Roman" w:hAnsi="Times New Roman" w:eastAsia="微软雅黑" w:cs="Times New Roman"/>
          <w:color w:val="000000"/>
          <w:kern w:val="0"/>
          <w:sz w:val="21"/>
          <w:szCs w:val="21"/>
          <w:lang w:bidi="ar"/>
        </w:rPr>
        <w:t>μl</w:t>
      </w:r>
      <w:r>
        <w:rPr>
          <w:rFonts w:hint="eastAsia" w:ascii="Times New Roman" w:hAnsi="Times New Roman" w:eastAsia="微软雅黑" w:cs="Times New Roman"/>
          <w:color w:val="000000"/>
          <w:kern w:val="0"/>
          <w:sz w:val="21"/>
          <w:szCs w:val="21"/>
          <w:lang w:bidi="ar"/>
        </w:rPr>
        <w:t>试剂</w:t>
      </w:r>
      <w:r>
        <w:rPr>
          <w:rFonts w:hint="eastAsia" w:ascii="Times New Roman" w:hAnsi="Times New Roman" w:eastAsia="微软雅黑" w:cs="Times New Roman"/>
          <w:color w:val="000000"/>
          <w:kern w:val="0"/>
          <w:sz w:val="21"/>
          <w:szCs w:val="21"/>
          <w:lang w:val="en-US" w:eastAsia="zh-CN" w:bidi="ar"/>
        </w:rPr>
        <w:t>C</w:t>
      </w:r>
      <w:r>
        <w:rPr>
          <w:rFonts w:hint="eastAsia" w:ascii="Times New Roman" w:hAnsi="Times New Roman" w:eastAsia="微软雅黑" w:cs="Times New Roman"/>
          <w:color w:val="000000"/>
          <w:kern w:val="0"/>
          <w:sz w:val="21"/>
          <w:szCs w:val="21"/>
          <w:lang w:bidi="ar"/>
        </w:rPr>
        <w:t>，混匀，终止酶解反应，此时会有沉淀出现，20000g离心1min后吸取上清待后续脱盐。</w:t>
      </w:r>
    </w:p>
    <w:p w14:paraId="41519775">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w:t>
      </w:r>
      <w:r>
        <w:rPr>
          <w:rFonts w:hint="eastAsia" w:ascii="Times New Roman" w:hAnsi="Times New Roman" w:eastAsia="微软雅黑" w:cs="Times New Roman"/>
          <w:b/>
          <w:bCs/>
          <w:sz w:val="21"/>
          <w:szCs w:val="21"/>
          <w:lang w:val="en-US" w:eastAsia="zh-CN"/>
        </w:rPr>
        <w:t>2</w:t>
      </w:r>
      <w:r>
        <w:rPr>
          <w:rFonts w:ascii="Times New Roman" w:hAnsi="Times New Roman" w:eastAsia="微软雅黑" w:cs="Times New Roman"/>
          <w:b/>
          <w:bCs/>
          <w:sz w:val="21"/>
          <w:szCs w:val="21"/>
        </w:rPr>
        <w:t xml:space="preserve"> 肽段脱盐</w:t>
      </w:r>
    </w:p>
    <w:p w14:paraId="4092BA48">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脱盐柱活化：</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0μl甲醇加入到脱盐柱中，700g离心1min；</w:t>
      </w:r>
    </w:p>
    <w:p w14:paraId="5BF83E9E">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脱盐柱去杂质：</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 Condition buffer加入到脱盐柱中，700g离心1min；</w:t>
      </w:r>
    </w:p>
    <w:p w14:paraId="5FDDF653">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脱盐柱平衡：</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 Wash buffer加入到脱盐柱中，700g离心1min；</w:t>
      </w:r>
    </w:p>
    <w:p w14:paraId="279B73FE">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加载样本：将样本全部加载到脱盐柱中，700g离心1min，重复操作一次；</w:t>
      </w:r>
      <w:r>
        <w:rPr>
          <w:rFonts w:ascii="Times New Roman" w:hAnsi="Times New Roman" w:eastAsia="微软雅黑" w:cs="Times New Roman"/>
          <w:color w:val="FF0000"/>
          <w:kern w:val="0"/>
          <w:sz w:val="21"/>
          <w:szCs w:val="21"/>
          <w:lang w:bidi="ar"/>
        </w:rPr>
        <w:t>（</w:t>
      </w:r>
      <w:r>
        <w:rPr>
          <w:rFonts w:hint="eastAsia" w:ascii="Times New Roman" w:hAnsi="Times New Roman" w:eastAsia="微软雅黑" w:cs="Times New Roman"/>
          <w:color w:val="FF0000"/>
          <w:kern w:val="0"/>
          <w:sz w:val="21"/>
          <w:szCs w:val="21"/>
          <w:lang w:val="en-US" w:eastAsia="zh-CN" w:bidi="ar"/>
        </w:rPr>
        <w:t>加载样本前确保pH &lt; 3</w:t>
      </w:r>
      <w:r>
        <w:rPr>
          <w:rFonts w:ascii="Times New Roman" w:hAnsi="Times New Roman" w:eastAsia="微软雅黑" w:cs="Times New Roman"/>
          <w:color w:val="FF0000"/>
          <w:kern w:val="0"/>
          <w:sz w:val="21"/>
          <w:szCs w:val="21"/>
          <w:lang w:bidi="ar"/>
        </w:rPr>
        <w:t>，可</w:t>
      </w:r>
      <w:r>
        <w:rPr>
          <w:rFonts w:hint="eastAsia" w:ascii="Times New Roman" w:hAnsi="Times New Roman" w:eastAsia="微软雅黑" w:cs="Times New Roman"/>
          <w:color w:val="FF0000"/>
          <w:kern w:val="0"/>
          <w:sz w:val="21"/>
          <w:szCs w:val="21"/>
          <w:lang w:bidi="ar"/>
        </w:rPr>
        <w:t>使用20%TFA</w:t>
      </w:r>
      <w:r>
        <w:rPr>
          <w:rFonts w:ascii="Times New Roman" w:hAnsi="Times New Roman" w:eastAsia="微软雅黑" w:cs="Times New Roman"/>
          <w:color w:val="FF0000"/>
          <w:kern w:val="0"/>
          <w:sz w:val="21"/>
          <w:szCs w:val="21"/>
          <w:lang w:bidi="ar"/>
        </w:rPr>
        <w:t>调pH＜3后加载样本）</w:t>
      </w:r>
    </w:p>
    <w:p w14:paraId="6CB91954">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脱盐柱清洗：</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 Wash buffer加入到脱盐柱中，700g离心1min，重复操作一次；</w:t>
      </w:r>
    </w:p>
    <w:p w14:paraId="5E52779C">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样本洗脱：</w:t>
      </w:r>
      <w:r>
        <w:rPr>
          <w:rFonts w:hint="eastAsia" w:ascii="Times New Roman" w:hAnsi="Times New Roman" w:eastAsia="微软雅黑" w:cs="Times New Roman"/>
          <w:color w:val="000000"/>
          <w:kern w:val="0"/>
          <w:sz w:val="21"/>
          <w:szCs w:val="21"/>
          <w:lang w:val="en-US" w:eastAsia="zh-CN" w:bidi="ar"/>
        </w:rPr>
        <w:t>5</w:t>
      </w:r>
      <w:r>
        <w:rPr>
          <w:rFonts w:ascii="Times New Roman" w:hAnsi="Times New Roman" w:eastAsia="微软雅黑" w:cs="Times New Roman"/>
          <w:color w:val="000000"/>
          <w:kern w:val="0"/>
          <w:sz w:val="21"/>
          <w:szCs w:val="21"/>
          <w:lang w:bidi="ar"/>
        </w:rPr>
        <w:t>0μl Elution buffer加入到脱盐柱中，700g离心1min，洗脱两次，最终样本体积</w:t>
      </w:r>
      <w:r>
        <w:rPr>
          <w:rFonts w:hint="eastAsia" w:ascii="Times New Roman" w:hAnsi="Times New Roman" w:eastAsia="微软雅黑" w:cs="Times New Roman"/>
          <w:color w:val="000000"/>
          <w:kern w:val="0"/>
          <w:sz w:val="21"/>
          <w:szCs w:val="21"/>
          <w:lang w:val="en-US" w:eastAsia="zh-CN" w:bidi="ar"/>
        </w:rPr>
        <w:t>约</w:t>
      </w:r>
      <w:r>
        <w:rPr>
          <w:rFonts w:ascii="Times New Roman" w:hAnsi="Times New Roman" w:eastAsia="微软雅黑" w:cs="Times New Roman"/>
          <w:color w:val="000000"/>
          <w:kern w:val="0"/>
          <w:sz w:val="21"/>
          <w:szCs w:val="21"/>
          <w:lang w:bidi="ar"/>
        </w:rPr>
        <w:t>为</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w:t>
      </w:r>
    </w:p>
    <w:p w14:paraId="26AF775E">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真空冷冻离心浓缩仪浓缩样本。</w:t>
      </w:r>
    </w:p>
    <w:p w14:paraId="63AF6D2F">
      <w:pPr>
        <w:spacing w:line="240" w:lineRule="auto"/>
        <w:rPr>
          <w:rFonts w:ascii="Times New Roman" w:hAnsi="Times New Roman" w:eastAsia="微软雅黑" w:cs="Times New Roman"/>
          <w:b/>
          <w:bCs/>
          <w:sz w:val="21"/>
          <w:szCs w:val="21"/>
        </w:rPr>
      </w:pPr>
    </w:p>
    <w:p w14:paraId="139FD85E">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6. 注意事项</w:t>
      </w:r>
    </w:p>
    <w:p w14:paraId="46C46B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细胞量建议不超过1E4个，过载会导致还原烷基化以及酶切不充分，影响鉴定结果；</w:t>
      </w:r>
    </w:p>
    <w:p w14:paraId="4A04BA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试剂A低温下会析出，建议使用前置于水浴锅中（56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）放置10min，待结晶重新溶解后混合均匀使用；</w:t>
      </w:r>
    </w:p>
    <w:p w14:paraId="186ACC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3CE39B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742CCB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w:t>
      </w:r>
      <w:r>
        <w:rPr>
          <w:rFonts w:ascii="Times New Roman" w:hAnsi="Times New Roman" w:eastAsia="微软雅黑" w:cs="Times New Roman"/>
          <w:color w:val="000000"/>
          <w:kern w:val="0"/>
          <w:sz w:val="18"/>
          <w:szCs w:val="18"/>
          <w:lang w:bidi="ar"/>
        </w:rPr>
        <w:t>有大量沉淀出现属于正常情况，高速离心后即可进行后续实验；</w:t>
      </w:r>
    </w:p>
    <w:p w14:paraId="41F97F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508652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227F36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p w14:paraId="217FBAF7">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545A4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071" w:type="dxa"/>
            <w:noWrap w:val="0"/>
            <w:vAlign w:val="top"/>
          </w:tcPr>
          <w:p w14:paraId="328BC64C">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35" b="635"/>
                  <wp:docPr id="6"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code"/>
                          <pic:cNvPicPr>
                            <a:picLocks noChangeAspect="1"/>
                          </pic:cNvPicPr>
                        </pic:nvPicPr>
                        <pic:blipFill>
                          <a:blip r:embed="rId11"/>
                          <a:stretch>
                            <a:fillRect/>
                          </a:stretch>
                        </pic:blipFill>
                        <pic:spPr>
                          <a:xfrm>
                            <a:off x="0" y="0"/>
                            <a:ext cx="666115" cy="666115"/>
                          </a:xfrm>
                          <a:prstGeom prst="rect">
                            <a:avLst/>
                          </a:prstGeom>
                          <a:noFill/>
                          <a:ln>
                            <a:noFill/>
                          </a:ln>
                        </pic:spPr>
                      </pic:pic>
                    </a:graphicData>
                  </a:graphic>
                </wp:inline>
              </w:drawing>
            </w:r>
          </w:p>
        </w:tc>
        <w:tc>
          <w:tcPr>
            <w:tcW w:w="2451" w:type="dxa"/>
            <w:noWrap w:val="0"/>
            <w:vAlign w:val="center"/>
          </w:tcPr>
          <w:p w14:paraId="73CCA1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234FB2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20251496">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76305D87">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440" w:right="1800" w:bottom="1440" w:left="1800" w:header="851" w:footer="90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9B72D">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2336"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764B87B">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2336;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BoPKC1wAAAAoBAAAPAAAAAAAAAAEAIAAAACIAAABkcnMvZG93bnJl&#10;di54bWxQSwECFAAUAAAACACHTuJAe3NDNTcCAABxBAAADgAAAAAAAAABACAAAAAmAQAAZHJzL2Uy&#10;b0RvYy54bWxQSwUGAAAAAAYABgBZAQAAzwUAAAAA&#10;">
              <v:fill on="f" focussize="0,0"/>
              <v:stroke on="f" weight="0.5pt"/>
              <v:imagedata o:title=""/>
              <o:lock v:ext="edit" aspectratio="f"/>
              <v:textbox inset="0mm,0mm,0mm,0mm" style="mso-fit-shape-to-text:t;">
                <w:txbxContent>
                  <w:p w14:paraId="0764B87B">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align>center</wp:align>
          </wp:positionH>
          <wp:positionV relativeFrom="page">
            <wp:align>bottom</wp:align>
          </wp:positionV>
          <wp:extent cx="7559675" cy="1357630"/>
          <wp:effectExtent l="0" t="0" r="3175" b="13970"/>
          <wp:wrapNone/>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
                  <a:stretch>
                    <a:fillRect/>
                  </a:stretch>
                </pic:blipFill>
                <pic:spPr>
                  <a:xfrm flipH="1" flipV="1">
                    <a:off x="0" y="0"/>
                    <a:ext cx="7559675"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1BEA5">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559675" cy="1357630"/>
          <wp:effectExtent l="0" t="0" r="3175" b="13970"/>
          <wp:wrapNone/>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
                  <a:stretch>
                    <a:fillRect/>
                  </a:stretch>
                </pic:blipFill>
                <pic:spPr>
                  <a:xfrm>
                    <a:off x="0" y="0"/>
                    <a:ext cx="7559675"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911860"/>
          <wp:effectExtent l="1503045" t="0" r="1547495" b="0"/>
          <wp:wrapNone/>
          <wp:docPr id="9"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39663" descr="logo"/>
                  <pic:cNvPicPr>
                    <a:picLocks noChangeAspect="1"/>
                  </pic:cNvPicPr>
                </pic:nvPicPr>
                <pic:blipFill>
                  <a:blip r:embed="rId2">
                    <a:lum bright="69998" contrast="-70001"/>
                  </a:blip>
                  <a:stretch>
                    <a:fillRect/>
                  </a:stretch>
                </pic:blipFill>
                <pic:spPr>
                  <a:xfrm rot="-2700000">
                    <a:off x="0" y="0"/>
                    <a:ext cx="5274310" cy="9118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1">
    <w:nsid w:val="CE045B9A"/>
    <w:multiLevelType w:val="singleLevel"/>
    <w:tmpl w:val="CE045B9A"/>
    <w:lvl w:ilvl="0" w:tentative="0">
      <w:start w:val="1"/>
      <w:numFmt w:val="bullet"/>
      <w:lvlText w:val=""/>
      <w:lvlJc w:val="left"/>
      <w:pPr>
        <w:ind w:left="420" w:hanging="420"/>
      </w:pPr>
      <w:rPr>
        <w:rFonts w:hint="default" w:ascii="Wingdings" w:hAnsi="Wingdings"/>
      </w:rPr>
    </w:lvl>
  </w:abstractNum>
  <w:abstractNum w:abstractNumId="2">
    <w:nsid w:val="D0856594"/>
    <w:multiLevelType w:val="singleLevel"/>
    <w:tmpl w:val="D0856594"/>
    <w:lvl w:ilvl="0" w:tentative="0">
      <w:start w:val="1"/>
      <w:numFmt w:val="lowerLetter"/>
      <w:lvlText w:val="%1."/>
      <w:lvlJc w:val="left"/>
      <w:pPr>
        <w:ind w:left="425" w:hanging="425"/>
      </w:pPr>
      <w:rPr>
        <w:rFonts w:hint="default"/>
      </w:rPr>
    </w:lvl>
  </w:abstractNum>
  <w:abstractNum w:abstractNumId="3">
    <w:nsid w:val="4EB15633"/>
    <w:multiLevelType w:val="singleLevel"/>
    <w:tmpl w:val="4EB15633"/>
    <w:lvl w:ilvl="0" w:tentative="0">
      <w:start w:val="1"/>
      <w:numFmt w:val="decimal"/>
      <w:suff w:val="space"/>
      <w:lvlText w:val="%1."/>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 w:name="KSO_WPS_MARK_KEY" w:val="18d99df0-61df-4e56-b8df-219bdb7d8398"/>
  </w:docVars>
  <w:rsids>
    <w:rsidRoot w:val="00000000"/>
    <w:rsid w:val="07F80397"/>
    <w:rsid w:val="097946D3"/>
    <w:rsid w:val="09A175F8"/>
    <w:rsid w:val="13AC0DFB"/>
    <w:rsid w:val="1BAF4D2D"/>
    <w:rsid w:val="1D2737FF"/>
    <w:rsid w:val="1EFC5E1C"/>
    <w:rsid w:val="239D478B"/>
    <w:rsid w:val="280D678A"/>
    <w:rsid w:val="2B773DAE"/>
    <w:rsid w:val="2BA7339A"/>
    <w:rsid w:val="2E1819E5"/>
    <w:rsid w:val="2FFA371C"/>
    <w:rsid w:val="344F3FA7"/>
    <w:rsid w:val="35E64A22"/>
    <w:rsid w:val="3D2C6E4B"/>
    <w:rsid w:val="3F8F6DDC"/>
    <w:rsid w:val="405B390A"/>
    <w:rsid w:val="41412BA9"/>
    <w:rsid w:val="42F655C2"/>
    <w:rsid w:val="448B0D0B"/>
    <w:rsid w:val="4A862B54"/>
    <w:rsid w:val="4C886703"/>
    <w:rsid w:val="516669F4"/>
    <w:rsid w:val="52432C25"/>
    <w:rsid w:val="52A5300F"/>
    <w:rsid w:val="54DB765D"/>
    <w:rsid w:val="568E20A2"/>
    <w:rsid w:val="5B501F0F"/>
    <w:rsid w:val="60A74B67"/>
    <w:rsid w:val="61406582"/>
    <w:rsid w:val="63F70CE7"/>
    <w:rsid w:val="6D9B6C43"/>
    <w:rsid w:val="71F957A1"/>
    <w:rsid w:val="74513D0A"/>
    <w:rsid w:val="76ED00CD"/>
    <w:rsid w:val="7A916E70"/>
    <w:rsid w:val="7AF516A8"/>
    <w:rsid w:val="7B4845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1351</Words>
  <Characters>2100</Characters>
  <Lines>0</Lines>
  <Paragraphs>0</Paragraphs>
  <TotalTime>3</TotalTime>
  <ScaleCrop>false</ScaleCrop>
  <LinksUpToDate>false</LinksUpToDate>
  <CharactersWithSpaces>2207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shygza</cp:lastModifiedBy>
  <dcterms:modified xsi:type="dcterms:W3CDTF">2026-06-11T06:42:46Z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29C2F88810AB422C825EFA80562824C2_13</vt:lpwstr>
  </property>
  <property fmtid="{D5CDD505-2E9C-101B-9397-08002B2CF9AE}" pid="4" name="KSOTemplateDocerSaveRecord">
    <vt:lpwstr>eyJoZGlkIjoiNGE4MmJmZWM4N2NmNzM0ODc5NTJkMGZhNzZhNmI2ZDgiLCJ1c2VySWQiOiI2OTYyMTYzMjYifQ==</vt:lpwstr>
  </property>
</Properties>
</file>