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C898E4">
      <w:pPr>
        <w:jc w:val="center"/>
        <w:rPr>
          <w:rFonts w:hint="eastAsia" w:ascii="微软雅黑" w:hAnsi="微软雅黑" w:eastAsia="微软雅黑" w:cs="微软雅黑"/>
          <w:b/>
          <w:bCs/>
          <w:sz w:val="32"/>
          <w:szCs w:val="32"/>
        </w:rPr>
      </w:pPr>
      <w:bookmarkStart w:id="0" w:name="_GoBack"/>
      <w:bookmarkEnd w:id="0"/>
      <w:r>
        <w:rPr>
          <w:rFonts w:hint="eastAsia" w:ascii="微软雅黑" w:hAnsi="微软雅黑" w:eastAsia="微软雅黑" w:cs="微软雅黑"/>
          <w:b/>
          <w:bCs/>
          <w:sz w:val="32"/>
          <w:szCs w:val="32"/>
        </w:rPr>
        <w:t>易肽</w:t>
      </w:r>
      <w:r>
        <w:rPr>
          <w:rFonts w:hint="default" w:ascii="Times New Roman" w:hAnsi="Times New Roman" w:eastAsia="微软雅黑" w:cs="Times New Roman"/>
          <w:b/>
          <w:bCs/>
          <w:sz w:val="32"/>
          <w:szCs w:val="32"/>
          <w:lang w:val="en-US" w:eastAsia="zh-CN"/>
        </w:rPr>
        <w:t xml:space="preserve">Ex </w:t>
      </w:r>
      <w:r>
        <w:rPr>
          <w:rFonts w:hint="eastAsia" w:ascii="微软雅黑" w:hAnsi="微软雅黑" w:eastAsia="微软雅黑" w:cs="微软雅黑"/>
          <w:b/>
          <w:bCs/>
          <w:sz w:val="32"/>
          <w:szCs w:val="32"/>
          <w:lang w:val="en-US" w:eastAsia="zh-CN"/>
        </w:rPr>
        <w:t>极微量蛋白</w:t>
      </w:r>
      <w:r>
        <w:rPr>
          <w:rFonts w:hint="eastAsia" w:ascii="微软雅黑" w:hAnsi="微软雅黑" w:eastAsia="微软雅黑" w:cs="微软雅黑"/>
          <w:b/>
          <w:bCs/>
          <w:sz w:val="32"/>
          <w:szCs w:val="32"/>
        </w:rPr>
        <w:t>前处理制备试剂盒</w:t>
      </w:r>
    </w:p>
    <w:p w14:paraId="71E700E6">
      <w:pPr>
        <w:jc w:val="center"/>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货号：OSFP0004  规格：96x  版本号：V20260609</w:t>
      </w:r>
    </w:p>
    <w:p w14:paraId="7B3C0DE8">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试剂盒包含：</w:t>
      </w:r>
    </w:p>
    <w:tbl>
      <w:tblPr>
        <w:tblStyle w:val="6"/>
        <w:tblpPr w:leftFromText="180" w:rightFromText="180" w:vertAnchor="text" w:horzAnchor="page" w:tblpX="1798" w:tblpY="579"/>
        <w:tblOverlap w:val="never"/>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91"/>
        <w:gridCol w:w="1510"/>
        <w:gridCol w:w="4420"/>
        <w:gridCol w:w="1198"/>
      </w:tblGrid>
      <w:tr w14:paraId="5F304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6" w:type="pct"/>
            <w:tcBorders>
              <w:top w:val="single" w:color="auto" w:sz="6" w:space="0"/>
              <w:bottom w:val="single" w:color="auto" w:sz="6" w:space="0"/>
            </w:tcBorders>
            <w:noWrap w:val="0"/>
            <w:vAlign w:val="center"/>
          </w:tcPr>
          <w:p w14:paraId="6E89A364">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试剂名称</w:t>
            </w:r>
          </w:p>
        </w:tc>
        <w:tc>
          <w:tcPr>
            <w:tcW w:w="886" w:type="pct"/>
            <w:tcBorders>
              <w:top w:val="single" w:color="auto" w:sz="6" w:space="0"/>
              <w:bottom w:val="single" w:color="auto" w:sz="6" w:space="0"/>
            </w:tcBorders>
            <w:noWrap w:val="0"/>
            <w:vAlign w:val="center"/>
          </w:tcPr>
          <w:p w14:paraId="475B90E7">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规格</w:t>
            </w:r>
          </w:p>
        </w:tc>
        <w:tc>
          <w:tcPr>
            <w:tcW w:w="2593" w:type="pct"/>
            <w:tcBorders>
              <w:top w:val="single" w:color="auto" w:sz="6" w:space="0"/>
              <w:bottom w:val="single" w:color="auto" w:sz="6" w:space="0"/>
            </w:tcBorders>
            <w:noWrap w:val="0"/>
            <w:vAlign w:val="center"/>
          </w:tcPr>
          <w:p w14:paraId="65B1FD07">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简   介</w:t>
            </w:r>
          </w:p>
        </w:tc>
        <w:tc>
          <w:tcPr>
            <w:tcW w:w="703" w:type="pct"/>
            <w:tcBorders>
              <w:top w:val="single" w:color="auto" w:sz="6" w:space="0"/>
              <w:bottom w:val="single" w:color="auto" w:sz="6" w:space="0"/>
            </w:tcBorders>
            <w:noWrap w:val="0"/>
            <w:vAlign w:val="center"/>
          </w:tcPr>
          <w:p w14:paraId="7C19E4ED">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储存条件</w:t>
            </w:r>
          </w:p>
        </w:tc>
      </w:tr>
      <w:tr w14:paraId="401D5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6" w:type="pct"/>
            <w:tcBorders>
              <w:top w:val="nil"/>
              <w:bottom w:val="nil"/>
            </w:tcBorders>
            <w:noWrap w:val="0"/>
            <w:vAlign w:val="center"/>
          </w:tcPr>
          <w:p w14:paraId="1F363FF9">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A </w:t>
            </w:r>
            <w:r>
              <w:rPr>
                <w:rFonts w:hint="default" w:ascii="Times New Roman" w:hAnsi="Times New Roman" w:eastAsia="微软雅黑" w:cs="Times New Roman"/>
                <w:b w:val="0"/>
                <w:bCs w:val="0"/>
                <w:color w:val="843C0B"/>
                <w:sz w:val="18"/>
                <w:szCs w:val="18"/>
                <w:vertAlign w:val="baseline"/>
                <w:lang w:val="en-US" w:eastAsia="zh-CN"/>
              </w:rPr>
              <w:t>●</w:t>
            </w:r>
            <w:r>
              <w:rPr>
                <w:rFonts w:hint="default" w:ascii="Times New Roman" w:hAnsi="Times New Roman" w:eastAsia="微软雅黑" w:cs="Times New Roman"/>
                <w:sz w:val="18"/>
                <w:szCs w:val="18"/>
              </w:rPr>
              <w:t xml:space="preserve"> </w:t>
            </w:r>
          </w:p>
        </w:tc>
        <w:tc>
          <w:tcPr>
            <w:tcW w:w="886" w:type="pct"/>
            <w:tcBorders>
              <w:top w:val="nil"/>
              <w:bottom w:val="nil"/>
            </w:tcBorders>
            <w:noWrap w:val="0"/>
            <w:vAlign w:val="center"/>
          </w:tcPr>
          <w:p w14:paraId="7CC3D93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b w:val="0"/>
                <w:bCs w:val="0"/>
                <w:sz w:val="18"/>
                <w:szCs w:val="18"/>
                <w:vertAlign w:val="baseline"/>
                <w:lang w:val="en-US" w:eastAsia="zh-CN"/>
              </w:rPr>
              <w:t>150 μl*1</w:t>
            </w:r>
            <w:r>
              <w:rPr>
                <w:rFonts w:hint="eastAsia" w:ascii="Times New Roman" w:hAnsi="Times New Roman" w:eastAsia="微软雅黑" w:cs="Times New Roman"/>
                <w:b w:val="0"/>
                <w:bCs w:val="0"/>
                <w:sz w:val="18"/>
                <w:szCs w:val="18"/>
                <w:vertAlign w:val="baseline"/>
                <w:lang w:val="en-US" w:eastAsia="zh-CN"/>
              </w:rPr>
              <w:t>2</w:t>
            </w:r>
          </w:p>
        </w:tc>
        <w:tc>
          <w:tcPr>
            <w:tcW w:w="2593" w:type="pct"/>
            <w:tcBorders>
              <w:top w:val="nil"/>
              <w:bottom w:val="nil"/>
            </w:tcBorders>
            <w:noWrap w:val="0"/>
            <w:vAlign w:val="center"/>
          </w:tcPr>
          <w:p w14:paraId="6C3007D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b w:val="0"/>
                <w:bCs w:val="0"/>
                <w:sz w:val="18"/>
                <w:szCs w:val="18"/>
                <w:vertAlign w:val="baseline"/>
                <w:lang w:val="en-US" w:eastAsia="zh-CN"/>
              </w:rPr>
              <w:t>还原烷基化，蛋白质还原烷基化</w:t>
            </w:r>
          </w:p>
        </w:tc>
        <w:tc>
          <w:tcPr>
            <w:tcW w:w="703" w:type="pct"/>
            <w:tcBorders>
              <w:top w:val="nil"/>
              <w:bottom w:val="nil"/>
            </w:tcBorders>
            <w:noWrap w:val="0"/>
            <w:vAlign w:val="center"/>
          </w:tcPr>
          <w:p w14:paraId="7C33C12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-20℃</w:t>
            </w:r>
          </w:p>
        </w:tc>
      </w:tr>
      <w:tr w14:paraId="5BDAD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6" w:type="pct"/>
            <w:tcBorders>
              <w:top w:val="nil"/>
              <w:bottom w:val="nil"/>
            </w:tcBorders>
            <w:noWrap w:val="0"/>
            <w:vAlign w:val="center"/>
          </w:tcPr>
          <w:p w14:paraId="00F046C5">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B</w:t>
            </w:r>
            <w:r>
              <w:rPr>
                <w:rFonts w:hint="default" w:ascii="Times New Roman" w:hAnsi="Times New Roman" w:eastAsia="微软雅黑" w:cs="Times New Roman"/>
                <w:b w:val="0"/>
                <w:bCs w:val="0"/>
                <w:sz w:val="18"/>
                <w:szCs w:val="18"/>
                <w:vertAlign w:val="baseline"/>
                <w:lang w:val="en-US" w:eastAsia="zh-CN"/>
              </w:rPr>
              <w:t xml:space="preserve"> </w:t>
            </w:r>
            <w:r>
              <w:rPr>
                <w:rFonts w:hint="default" w:ascii="Times New Roman" w:hAnsi="Times New Roman" w:eastAsia="微软雅黑" w:cs="Times New Roman"/>
                <w:b w:val="0"/>
                <w:bCs w:val="0"/>
                <w:color w:val="FF0000"/>
                <w:sz w:val="18"/>
                <w:szCs w:val="18"/>
                <w:vertAlign w:val="baseline"/>
                <w:lang w:val="en-US" w:eastAsia="zh-CN"/>
              </w:rPr>
              <w:t>●</w:t>
            </w:r>
          </w:p>
        </w:tc>
        <w:tc>
          <w:tcPr>
            <w:tcW w:w="886" w:type="pct"/>
            <w:tcBorders>
              <w:top w:val="nil"/>
              <w:bottom w:val="nil"/>
            </w:tcBorders>
            <w:noWrap w:val="0"/>
            <w:vAlign w:val="center"/>
          </w:tcPr>
          <w:p w14:paraId="1CE30B2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b w:val="0"/>
                <w:bCs w:val="0"/>
                <w:sz w:val="18"/>
                <w:szCs w:val="18"/>
                <w:vertAlign w:val="baseline"/>
                <w:lang w:val="en-US" w:eastAsia="zh-CN"/>
              </w:rPr>
              <w:t>150μl*1</w:t>
            </w:r>
            <w:r>
              <w:rPr>
                <w:rFonts w:hint="eastAsia" w:ascii="Times New Roman" w:hAnsi="Times New Roman" w:eastAsia="微软雅黑" w:cs="Times New Roman"/>
                <w:b w:val="0"/>
                <w:bCs w:val="0"/>
                <w:sz w:val="18"/>
                <w:szCs w:val="18"/>
                <w:vertAlign w:val="baseline"/>
                <w:lang w:val="en-US" w:eastAsia="zh-CN"/>
              </w:rPr>
              <w:t>2</w:t>
            </w:r>
          </w:p>
        </w:tc>
        <w:tc>
          <w:tcPr>
            <w:tcW w:w="2593" w:type="pct"/>
            <w:tcBorders>
              <w:top w:val="nil"/>
              <w:bottom w:val="nil"/>
            </w:tcBorders>
            <w:noWrap w:val="0"/>
            <w:vAlign w:val="center"/>
          </w:tcPr>
          <w:p w14:paraId="2E95F35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酶，蛋白酶解</w:t>
            </w:r>
          </w:p>
        </w:tc>
        <w:tc>
          <w:tcPr>
            <w:tcW w:w="703" w:type="pct"/>
            <w:tcBorders>
              <w:top w:val="nil"/>
              <w:bottom w:val="nil"/>
            </w:tcBorders>
            <w:noWrap w:val="0"/>
            <w:vAlign w:val="center"/>
          </w:tcPr>
          <w:p w14:paraId="5F85514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-20℃</w:t>
            </w:r>
          </w:p>
        </w:tc>
      </w:tr>
      <w:tr w14:paraId="2677D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6" w:type="pct"/>
            <w:tcBorders>
              <w:top w:val="nil"/>
              <w:bottom w:val="nil"/>
            </w:tcBorders>
            <w:noWrap w:val="0"/>
            <w:vAlign w:val="center"/>
          </w:tcPr>
          <w:p w14:paraId="33FEDD69">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C </w:t>
            </w:r>
            <w:r>
              <w:rPr>
                <w:rFonts w:hint="default" w:ascii="Times New Roman" w:hAnsi="Times New Roman" w:eastAsia="微软雅黑" w:cs="Times New Roman"/>
                <w:b w:val="0"/>
                <w:bCs w:val="0"/>
                <w:color w:val="auto"/>
                <w:sz w:val="18"/>
                <w:szCs w:val="18"/>
                <w:vertAlign w:val="baseline"/>
                <w:lang w:val="en-US" w:eastAsia="zh-CN"/>
              </w:rPr>
              <w:t>●</w:t>
            </w:r>
          </w:p>
        </w:tc>
        <w:tc>
          <w:tcPr>
            <w:tcW w:w="886" w:type="pct"/>
            <w:tcBorders>
              <w:top w:val="nil"/>
              <w:bottom w:val="nil"/>
            </w:tcBorders>
            <w:noWrap w:val="0"/>
            <w:vAlign w:val="center"/>
          </w:tcPr>
          <w:p w14:paraId="24FC734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b w:val="0"/>
                <w:bCs w:val="0"/>
                <w:sz w:val="18"/>
                <w:szCs w:val="18"/>
                <w:vertAlign w:val="baseline"/>
                <w:lang w:val="en-US" w:eastAsia="zh-CN"/>
              </w:rPr>
              <w:t>30μl*1</w:t>
            </w:r>
            <w:r>
              <w:rPr>
                <w:rFonts w:hint="eastAsia" w:ascii="Times New Roman" w:hAnsi="Times New Roman" w:eastAsia="微软雅黑" w:cs="Times New Roman"/>
                <w:b w:val="0"/>
                <w:bCs w:val="0"/>
                <w:sz w:val="18"/>
                <w:szCs w:val="18"/>
                <w:vertAlign w:val="baseline"/>
                <w:lang w:val="en-US" w:eastAsia="zh-CN"/>
              </w:rPr>
              <w:t>2</w:t>
            </w:r>
          </w:p>
        </w:tc>
        <w:tc>
          <w:tcPr>
            <w:tcW w:w="2593" w:type="pct"/>
            <w:tcBorders>
              <w:top w:val="nil"/>
              <w:bottom w:val="nil"/>
            </w:tcBorders>
            <w:noWrap w:val="0"/>
            <w:vAlign w:val="center"/>
          </w:tcPr>
          <w:p w14:paraId="3C8B512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终止试剂，终止酶解反应</w:t>
            </w:r>
          </w:p>
        </w:tc>
        <w:tc>
          <w:tcPr>
            <w:tcW w:w="703" w:type="pct"/>
            <w:tcBorders>
              <w:top w:val="nil"/>
              <w:bottom w:val="nil"/>
            </w:tcBorders>
            <w:noWrap w:val="0"/>
            <w:vAlign w:val="center"/>
          </w:tcPr>
          <w:p w14:paraId="5190E9D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24886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6" w:type="pct"/>
            <w:tcBorders>
              <w:top w:val="nil"/>
              <w:bottom w:val="nil"/>
            </w:tcBorders>
            <w:noWrap w:val="0"/>
            <w:vAlign w:val="center"/>
          </w:tcPr>
          <w:p w14:paraId="30BC9F02">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Cartridge</w:t>
            </w:r>
          </w:p>
        </w:tc>
        <w:tc>
          <w:tcPr>
            <w:tcW w:w="886" w:type="pct"/>
            <w:tcBorders>
              <w:top w:val="nil"/>
              <w:bottom w:val="nil"/>
            </w:tcBorders>
            <w:noWrap w:val="0"/>
            <w:vAlign w:val="center"/>
          </w:tcPr>
          <w:p w14:paraId="41AC78FB">
            <w:pPr>
              <w:spacing w:line="360" w:lineRule="auto"/>
              <w:jc w:val="center"/>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sz w:val="18"/>
                <w:szCs w:val="18"/>
                <w:lang w:val="en-US" w:eastAsia="zh-CN"/>
              </w:rPr>
              <w:t>10</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μg载量*</w:t>
            </w:r>
            <w:r>
              <w:rPr>
                <w:rFonts w:hint="default" w:ascii="Times New Roman" w:hAnsi="Times New Roman" w:eastAsia="微软雅黑" w:cs="Times New Roman"/>
                <w:sz w:val="18"/>
                <w:szCs w:val="18"/>
                <w:lang w:val="en-US" w:eastAsia="zh-CN"/>
              </w:rPr>
              <w:t>96</w:t>
            </w:r>
          </w:p>
        </w:tc>
        <w:tc>
          <w:tcPr>
            <w:tcW w:w="2593" w:type="pct"/>
            <w:tcBorders>
              <w:top w:val="nil"/>
              <w:bottom w:val="nil"/>
            </w:tcBorders>
            <w:noWrap w:val="0"/>
            <w:vAlign w:val="center"/>
          </w:tcPr>
          <w:p w14:paraId="7F704B0F">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rPr>
              <w:t>肽段脱盐</w:t>
            </w:r>
          </w:p>
        </w:tc>
        <w:tc>
          <w:tcPr>
            <w:tcW w:w="703" w:type="pct"/>
            <w:tcBorders>
              <w:top w:val="nil"/>
              <w:bottom w:val="nil"/>
            </w:tcBorders>
            <w:noWrap w:val="0"/>
            <w:vAlign w:val="center"/>
          </w:tcPr>
          <w:p w14:paraId="2B0FC11D">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常温</w:t>
            </w:r>
          </w:p>
        </w:tc>
      </w:tr>
      <w:tr w14:paraId="1B8CB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6" w:type="pct"/>
            <w:tcBorders>
              <w:top w:val="nil"/>
              <w:bottom w:val="nil"/>
            </w:tcBorders>
            <w:noWrap w:val="0"/>
            <w:vAlign w:val="center"/>
          </w:tcPr>
          <w:p w14:paraId="35AA1BD5">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Adaptor</w:t>
            </w:r>
          </w:p>
        </w:tc>
        <w:tc>
          <w:tcPr>
            <w:tcW w:w="886" w:type="pct"/>
            <w:tcBorders>
              <w:top w:val="nil"/>
              <w:bottom w:val="nil"/>
            </w:tcBorders>
            <w:noWrap w:val="0"/>
            <w:vAlign w:val="center"/>
          </w:tcPr>
          <w:p w14:paraId="74605BA0">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1（96X）</w:t>
            </w:r>
          </w:p>
        </w:tc>
        <w:tc>
          <w:tcPr>
            <w:tcW w:w="2593" w:type="pct"/>
            <w:tcBorders>
              <w:top w:val="nil"/>
              <w:bottom w:val="nil"/>
            </w:tcBorders>
            <w:noWrap w:val="0"/>
            <w:vAlign w:val="center"/>
          </w:tcPr>
          <w:p w14:paraId="7465FAFC">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96孔板除盐适配器</w:t>
            </w:r>
            <w:r>
              <w:rPr>
                <w:rFonts w:hint="eastAsia" w:ascii="Times New Roman" w:hAnsi="Times New Roman" w:eastAsia="微软雅黑" w:cs="Times New Roman"/>
                <w:sz w:val="18"/>
                <w:szCs w:val="18"/>
                <w:lang w:val="en-US" w:eastAsia="zh-CN"/>
              </w:rPr>
              <w:t>（仅在首次购买96X试剂盒时附赠）</w:t>
            </w:r>
          </w:p>
        </w:tc>
        <w:tc>
          <w:tcPr>
            <w:tcW w:w="703" w:type="pct"/>
            <w:tcBorders>
              <w:top w:val="nil"/>
              <w:bottom w:val="nil"/>
            </w:tcBorders>
            <w:noWrap w:val="0"/>
            <w:vAlign w:val="center"/>
          </w:tcPr>
          <w:p w14:paraId="33E571B3">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常温</w:t>
            </w:r>
          </w:p>
        </w:tc>
      </w:tr>
      <w:tr w14:paraId="090EF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6" w:type="pct"/>
            <w:tcBorders>
              <w:top w:val="nil"/>
              <w:bottom w:val="nil"/>
            </w:tcBorders>
            <w:noWrap w:val="0"/>
            <w:vAlign w:val="center"/>
          </w:tcPr>
          <w:p w14:paraId="1221F9B2">
            <w:pPr>
              <w:spacing w:line="360" w:lineRule="auto"/>
              <w:jc w:val="both"/>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 xml:space="preserve">    S板</w:t>
            </w:r>
          </w:p>
        </w:tc>
        <w:tc>
          <w:tcPr>
            <w:tcW w:w="886" w:type="pct"/>
            <w:tcBorders>
              <w:top w:val="nil"/>
              <w:bottom w:val="nil"/>
            </w:tcBorders>
            <w:noWrap w:val="0"/>
            <w:vAlign w:val="center"/>
          </w:tcPr>
          <w:p w14:paraId="624B1C4F">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1（96X）</w:t>
            </w:r>
          </w:p>
        </w:tc>
        <w:tc>
          <w:tcPr>
            <w:tcW w:w="2593" w:type="pct"/>
            <w:tcBorders>
              <w:top w:val="nil"/>
              <w:bottom w:val="nil"/>
            </w:tcBorders>
            <w:noWrap w:val="0"/>
            <w:vAlign w:val="center"/>
          </w:tcPr>
          <w:p w14:paraId="6275547C">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用于样品的还原烷基化、酶解</w:t>
            </w:r>
          </w:p>
        </w:tc>
        <w:tc>
          <w:tcPr>
            <w:tcW w:w="703" w:type="pct"/>
            <w:tcBorders>
              <w:top w:val="nil"/>
              <w:bottom w:val="nil"/>
            </w:tcBorders>
            <w:noWrap w:val="0"/>
            <w:vAlign w:val="center"/>
          </w:tcPr>
          <w:p w14:paraId="557FA561">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常温</w:t>
            </w:r>
          </w:p>
        </w:tc>
      </w:tr>
      <w:tr w14:paraId="2241B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6" w:type="pct"/>
            <w:tcBorders>
              <w:top w:val="nil"/>
              <w:bottom w:val="nil"/>
            </w:tcBorders>
            <w:noWrap w:val="0"/>
            <w:vAlign w:val="center"/>
          </w:tcPr>
          <w:p w14:paraId="3000E965">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Waste 板</w:t>
            </w:r>
          </w:p>
        </w:tc>
        <w:tc>
          <w:tcPr>
            <w:tcW w:w="886" w:type="pct"/>
            <w:tcBorders>
              <w:top w:val="nil"/>
              <w:bottom w:val="nil"/>
            </w:tcBorders>
            <w:noWrap w:val="0"/>
            <w:vAlign w:val="center"/>
          </w:tcPr>
          <w:p w14:paraId="504FEB23">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1（96X）</w:t>
            </w:r>
          </w:p>
        </w:tc>
        <w:tc>
          <w:tcPr>
            <w:tcW w:w="2593" w:type="pct"/>
            <w:tcBorders>
              <w:top w:val="nil"/>
              <w:bottom w:val="nil"/>
            </w:tcBorders>
            <w:noWrap w:val="0"/>
            <w:vAlign w:val="center"/>
          </w:tcPr>
          <w:p w14:paraId="693E9E80">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脱盐废液收集</w:t>
            </w:r>
          </w:p>
        </w:tc>
        <w:tc>
          <w:tcPr>
            <w:tcW w:w="703" w:type="pct"/>
            <w:tcBorders>
              <w:top w:val="nil"/>
              <w:bottom w:val="nil"/>
            </w:tcBorders>
            <w:noWrap w:val="0"/>
            <w:vAlign w:val="center"/>
          </w:tcPr>
          <w:p w14:paraId="5F55956A">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常温</w:t>
            </w:r>
          </w:p>
        </w:tc>
      </w:tr>
      <w:tr w14:paraId="53B56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6" w:type="pct"/>
            <w:tcBorders>
              <w:top w:val="nil"/>
              <w:bottom w:val="nil"/>
            </w:tcBorders>
            <w:noWrap w:val="0"/>
            <w:vAlign w:val="center"/>
          </w:tcPr>
          <w:p w14:paraId="39F00EAE">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Collection 板</w:t>
            </w:r>
          </w:p>
        </w:tc>
        <w:tc>
          <w:tcPr>
            <w:tcW w:w="886" w:type="pct"/>
            <w:tcBorders>
              <w:top w:val="nil"/>
              <w:bottom w:val="nil"/>
            </w:tcBorders>
            <w:noWrap w:val="0"/>
            <w:vAlign w:val="center"/>
          </w:tcPr>
          <w:p w14:paraId="7BDAEBFC">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1（96X）</w:t>
            </w:r>
          </w:p>
        </w:tc>
        <w:tc>
          <w:tcPr>
            <w:tcW w:w="2593" w:type="pct"/>
            <w:tcBorders>
              <w:top w:val="nil"/>
              <w:bottom w:val="nil"/>
            </w:tcBorders>
            <w:noWrap w:val="0"/>
            <w:vAlign w:val="center"/>
          </w:tcPr>
          <w:p w14:paraId="5BF6E47D">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洗脱肽段收集</w:t>
            </w:r>
          </w:p>
        </w:tc>
        <w:tc>
          <w:tcPr>
            <w:tcW w:w="703" w:type="pct"/>
            <w:tcBorders>
              <w:top w:val="nil"/>
              <w:bottom w:val="nil"/>
            </w:tcBorders>
            <w:noWrap w:val="0"/>
            <w:vAlign w:val="center"/>
          </w:tcPr>
          <w:p w14:paraId="12C2B663">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常温</w:t>
            </w:r>
          </w:p>
        </w:tc>
      </w:tr>
      <w:tr w14:paraId="2C71B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6" w:type="pct"/>
            <w:tcBorders>
              <w:top w:val="nil"/>
              <w:bottom w:val="single" w:color="auto" w:sz="4" w:space="0"/>
            </w:tcBorders>
            <w:noWrap w:val="0"/>
            <w:vAlign w:val="center"/>
          </w:tcPr>
          <w:p w14:paraId="43FF9C45">
            <w:pPr>
              <w:spacing w:line="360" w:lineRule="auto"/>
              <w:jc w:val="center"/>
              <w:rPr>
                <w:rFonts w:hint="default" w:ascii="Times New Roman" w:hAnsi="Times New Roman" w:eastAsia="微软雅黑" w:cs="Times New Roman"/>
                <w:kern w:val="2"/>
                <w:sz w:val="18"/>
                <w:szCs w:val="18"/>
                <w:lang w:val="en-US" w:eastAsia="zh-CN" w:bidi="ar-SA"/>
              </w:rPr>
            </w:pPr>
            <w:r>
              <w:rPr>
                <w:rFonts w:hint="eastAsia" w:ascii="Times New Roman" w:hAnsi="Times New Roman" w:eastAsia="微软雅黑" w:cs="Times New Roman"/>
                <w:sz w:val="18"/>
                <w:szCs w:val="18"/>
                <w:lang w:val="en-US" w:eastAsia="zh-CN"/>
              </w:rPr>
              <w:t>封口膜</w:t>
            </w:r>
          </w:p>
        </w:tc>
        <w:tc>
          <w:tcPr>
            <w:tcW w:w="886" w:type="pct"/>
            <w:tcBorders>
              <w:top w:val="nil"/>
              <w:bottom w:val="single" w:color="auto" w:sz="4" w:space="0"/>
            </w:tcBorders>
            <w:noWrap w:val="0"/>
            <w:vAlign w:val="center"/>
          </w:tcPr>
          <w:p w14:paraId="10A78D8D">
            <w:pPr>
              <w:spacing w:line="360" w:lineRule="auto"/>
              <w:jc w:val="center"/>
              <w:rPr>
                <w:rFonts w:hint="default" w:ascii="Times New Roman" w:hAnsi="Times New Roman" w:eastAsia="微软雅黑" w:cs="Times New Roman"/>
                <w:kern w:val="2"/>
                <w:sz w:val="18"/>
                <w:szCs w:val="18"/>
                <w:lang w:val="en-US" w:eastAsia="zh-CN" w:bidi="ar-SA"/>
              </w:rPr>
            </w:pPr>
            <w:r>
              <w:rPr>
                <w:rFonts w:hint="eastAsia" w:ascii="Times New Roman" w:hAnsi="Times New Roman" w:eastAsia="微软雅黑" w:cs="Times New Roman"/>
                <w:sz w:val="18"/>
                <w:szCs w:val="18"/>
                <w:lang w:val="en-US" w:eastAsia="zh-CN"/>
              </w:rPr>
              <w:t>1</w:t>
            </w:r>
          </w:p>
        </w:tc>
        <w:tc>
          <w:tcPr>
            <w:tcW w:w="2593" w:type="pct"/>
            <w:tcBorders>
              <w:top w:val="nil"/>
              <w:bottom w:val="single" w:color="auto" w:sz="4" w:space="0"/>
            </w:tcBorders>
            <w:noWrap w:val="0"/>
            <w:vAlign w:val="center"/>
          </w:tcPr>
          <w:p w14:paraId="3A51DC0C">
            <w:pPr>
              <w:spacing w:line="360" w:lineRule="auto"/>
              <w:jc w:val="center"/>
              <w:rPr>
                <w:rFonts w:hint="default" w:ascii="Times New Roman" w:hAnsi="Times New Roman" w:eastAsia="微软雅黑" w:cs="Times New Roman"/>
                <w:kern w:val="2"/>
                <w:sz w:val="18"/>
                <w:szCs w:val="18"/>
                <w:lang w:val="en-US" w:eastAsia="zh-CN" w:bidi="ar-SA"/>
              </w:rPr>
            </w:pPr>
            <w:r>
              <w:rPr>
                <w:rFonts w:hint="default" w:ascii="Times New Roman" w:hAnsi="Times New Roman" w:eastAsia="微软雅黑" w:cs="Times New Roman"/>
                <w:b w:val="0"/>
                <w:bCs w:val="0"/>
                <w:sz w:val="18"/>
                <w:szCs w:val="18"/>
                <w:vertAlign w:val="baseline"/>
                <w:lang w:val="en-US" w:eastAsia="zh-CN"/>
              </w:rPr>
              <w:t>96孔板封口</w:t>
            </w:r>
          </w:p>
        </w:tc>
        <w:tc>
          <w:tcPr>
            <w:tcW w:w="703" w:type="pct"/>
            <w:tcBorders>
              <w:top w:val="nil"/>
              <w:bottom w:val="single" w:color="auto" w:sz="4" w:space="0"/>
            </w:tcBorders>
            <w:noWrap w:val="0"/>
            <w:vAlign w:val="center"/>
          </w:tcPr>
          <w:p w14:paraId="49EE40CB">
            <w:pPr>
              <w:spacing w:line="360" w:lineRule="auto"/>
              <w:jc w:val="center"/>
              <w:rPr>
                <w:rFonts w:hint="default" w:ascii="Times New Roman" w:hAnsi="Times New Roman" w:eastAsia="微软雅黑" w:cs="Times New Roman"/>
                <w:kern w:val="2"/>
                <w:sz w:val="18"/>
                <w:szCs w:val="18"/>
                <w:lang w:val="en-US" w:eastAsia="zh-CN" w:bidi="ar-SA"/>
              </w:rPr>
            </w:pPr>
            <w:r>
              <w:rPr>
                <w:rFonts w:hint="eastAsia" w:ascii="Times New Roman" w:hAnsi="Times New Roman" w:eastAsia="微软雅黑" w:cs="Times New Roman"/>
                <w:sz w:val="18"/>
                <w:szCs w:val="18"/>
                <w:lang w:val="en-US" w:eastAsia="zh-CN"/>
              </w:rPr>
              <w:t>常温</w:t>
            </w:r>
          </w:p>
        </w:tc>
      </w:tr>
    </w:tbl>
    <w:p w14:paraId="626D1C0E">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试剂盒简介：</w:t>
      </w:r>
    </w:p>
    <w:p w14:paraId="01032B3E">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样品制备是蛋白质组学实验最重要的步骤之一，合适的前处理过程是实验成功的关键。</w:t>
      </w:r>
    </w:p>
    <w:p w14:paraId="3D240FBB">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易肽Ex极微量蛋白前处理制备试剂盒旨在以较少的样品制备步骤和较短的操作时间以获得最佳的实验结果。适用范围约</w:t>
      </w:r>
      <w:r>
        <w:rPr>
          <w:rFonts w:hint="default" w:ascii="Times New Roman" w:hAnsi="Times New Roman" w:eastAsia="微软雅黑" w:cs="Times New Roman"/>
          <w:lang w:val="en-US" w:eastAsia="zh-CN"/>
        </w:rPr>
        <w:t>100-10000</w:t>
      </w:r>
      <w:r>
        <w:rPr>
          <w:rFonts w:hint="eastAsia" w:ascii="微软雅黑" w:hAnsi="微软雅黑" w:eastAsia="微软雅黑" w:cs="微软雅黑"/>
          <w:lang w:val="en-US" w:eastAsia="zh-CN"/>
        </w:rPr>
        <w:t>个细胞或相当的蛋白量样本。该试剂盒提供蛋白制备包括蛋白变性、还原烷基化、蛋白酶解以及肽段脱盐过程的相关试剂。基于溶液内快速酶解的前处理方法，解决了传统方法损失大、耗时长的弊端，仅需</w:t>
      </w:r>
      <w:r>
        <w:rPr>
          <w:rFonts w:hint="default" w:ascii="Times New Roman" w:hAnsi="Times New Roman" w:eastAsia="微软雅黑" w:cs="Times New Roman"/>
          <w:lang w:val="en-US" w:eastAsia="zh-CN"/>
        </w:rPr>
        <w:t>2-3</w:t>
      </w:r>
      <w:r>
        <w:rPr>
          <w:rFonts w:hint="eastAsia" w:ascii="微软雅黑" w:hAnsi="微软雅黑" w:eastAsia="微软雅黑" w:cs="微软雅黑"/>
          <w:lang w:val="en-US" w:eastAsia="zh-CN"/>
        </w:rPr>
        <w:t>小时即可完成质谱检测前的所有步骤，且平行性好，以实现极微量蛋白的快速制备及蛋白质组深度覆盖检测。</w:t>
      </w:r>
    </w:p>
    <w:p w14:paraId="64A57796">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drawing>
          <wp:inline distT="0" distB="0" distL="114300" distR="114300">
            <wp:extent cx="5264785" cy="1707515"/>
            <wp:effectExtent l="0" t="0" r="12065" b="6985"/>
            <wp:docPr id="1" name="图片 9" descr="极微量96X白色除盐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9" descr="极微量96X白色除盐头"/>
                    <pic:cNvPicPr>
                      <a:picLocks noChangeAspect="1"/>
                    </pic:cNvPicPr>
                  </pic:nvPicPr>
                  <pic:blipFill>
                    <a:blip r:embed="rId6"/>
                    <a:stretch>
                      <a:fillRect/>
                    </a:stretch>
                  </pic:blipFill>
                  <pic:spPr>
                    <a:xfrm>
                      <a:off x="0" y="0"/>
                      <a:ext cx="5264785" cy="1707515"/>
                    </a:xfrm>
                    <a:prstGeom prst="rect">
                      <a:avLst/>
                    </a:prstGeom>
                    <a:noFill/>
                    <a:ln>
                      <a:noFill/>
                    </a:ln>
                  </pic:spPr>
                </pic:pic>
              </a:graphicData>
            </a:graphic>
          </wp:inline>
        </w:drawing>
      </w:r>
    </w:p>
    <w:p w14:paraId="4D0BAC3F">
      <w:pPr>
        <w:jc w:val="left"/>
        <w:rPr>
          <w:rFonts w:hint="eastAsia" w:ascii="微软雅黑" w:hAnsi="微软雅黑" w:eastAsia="微软雅黑" w:cs="微软雅黑"/>
          <w:b w:val="0"/>
          <w:bCs w:val="0"/>
          <w:lang w:val="en-US" w:eastAsia="zh-CN"/>
        </w:rPr>
      </w:pPr>
      <w:r>
        <w:rPr>
          <w:rFonts w:hint="eastAsia" w:ascii="微软雅黑" w:hAnsi="微软雅黑" w:eastAsia="微软雅黑" w:cs="微软雅黑"/>
          <w:b w:val="0"/>
          <w:bCs w:val="0"/>
          <w:lang w:val="en-US" w:eastAsia="zh-CN"/>
        </w:rPr>
        <w:t>参考文献：</w:t>
      </w:r>
    </w:p>
    <w:p w14:paraId="27649FDF">
      <w:pPr>
        <w:jc w:val="left"/>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Shuang Yang, Yueting Xiong, Yang Du, Ya-Jun Wang, Lei Zhang, Fenglin Shen, Yan-Jun Liu, Xiaohui Liu, and Pengyuan Yang. (2022). Ultrasensitive Trace Sample Proteomics Unraveled the Protein Remodeling during Mesenchymal–Amoeboid Transition. Analytical Chemistry, 94 (2), 768-776.</w:t>
      </w:r>
    </w:p>
    <w:p w14:paraId="0EB1465E">
      <w:pPr>
        <w:jc w:val="left"/>
        <w:rPr>
          <w:rFonts w:hint="eastAsia" w:ascii="Times New Roman" w:hAnsi="Times New Roman" w:eastAsia="微软雅黑" w:cs="Times New Roman"/>
          <w:sz w:val="18"/>
          <w:szCs w:val="18"/>
          <w:lang w:val="en-US" w:eastAsia="zh-CN"/>
        </w:rPr>
      </w:pPr>
    </w:p>
    <w:p w14:paraId="3AFEAB2E">
      <w:pPr>
        <w:numPr>
          <w:ilvl w:val="0"/>
          <w:numId w:val="1"/>
        </w:numPr>
        <w:spacing w:line="240" w:lineRule="auto"/>
        <w:ind w:left="0" w:leftChars="0" w:firstLine="0" w:firstLineChars="0"/>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需要准备的试剂耗材</w:t>
      </w:r>
    </w:p>
    <w:p w14:paraId="35CEFD81">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3.1 设备</w:t>
      </w:r>
    </w:p>
    <w:tbl>
      <w:tblPr>
        <w:tblStyle w:val="6"/>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70"/>
        <w:gridCol w:w="1401"/>
        <w:gridCol w:w="5548"/>
      </w:tblGrid>
      <w:tr w14:paraId="1876A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single" w:color="auto" w:sz="6" w:space="0"/>
              <w:bottom w:val="single" w:color="auto" w:sz="4" w:space="0"/>
            </w:tcBorders>
            <w:noWrap w:val="0"/>
            <w:vAlign w:val="center"/>
          </w:tcPr>
          <w:p w14:paraId="20EC3303">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设备名称</w:t>
            </w:r>
          </w:p>
        </w:tc>
        <w:tc>
          <w:tcPr>
            <w:tcW w:w="822" w:type="pct"/>
            <w:tcBorders>
              <w:top w:val="single" w:color="auto" w:sz="6" w:space="0"/>
              <w:bottom w:val="single" w:color="auto" w:sz="4" w:space="0"/>
            </w:tcBorders>
            <w:noWrap w:val="0"/>
            <w:vAlign w:val="center"/>
          </w:tcPr>
          <w:p w14:paraId="06D3FAAC">
            <w:pPr>
              <w:spacing w:line="240" w:lineRule="auto"/>
              <w:jc w:val="center"/>
              <w:rPr>
                <w:rFonts w:ascii="Times New Roman" w:hAnsi="Times New Roman" w:eastAsia="微软雅黑" w:cs="Times New Roman"/>
                <w:b/>
                <w:bCs/>
                <w:sz w:val="18"/>
                <w:szCs w:val="18"/>
              </w:rPr>
            </w:pPr>
          </w:p>
        </w:tc>
        <w:tc>
          <w:tcPr>
            <w:tcW w:w="3256" w:type="pct"/>
            <w:tcBorders>
              <w:top w:val="single" w:color="auto" w:sz="6" w:space="0"/>
              <w:bottom w:val="single" w:color="auto" w:sz="4" w:space="0"/>
            </w:tcBorders>
            <w:noWrap w:val="0"/>
            <w:vAlign w:val="center"/>
          </w:tcPr>
          <w:p w14:paraId="3C04B8DC">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简    介</w:t>
            </w:r>
          </w:p>
        </w:tc>
      </w:tr>
      <w:tr w14:paraId="2E9FC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single" w:color="auto" w:sz="4" w:space="0"/>
              <w:bottom w:val="nil"/>
            </w:tcBorders>
            <w:noWrap w:val="0"/>
            <w:vAlign w:val="center"/>
          </w:tcPr>
          <w:p w14:paraId="2737CCCD">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移液器</w:t>
            </w:r>
          </w:p>
        </w:tc>
        <w:tc>
          <w:tcPr>
            <w:tcW w:w="822" w:type="pct"/>
            <w:tcBorders>
              <w:top w:val="single" w:color="auto" w:sz="4" w:space="0"/>
              <w:bottom w:val="nil"/>
            </w:tcBorders>
            <w:noWrap w:val="0"/>
            <w:vAlign w:val="center"/>
          </w:tcPr>
          <w:p w14:paraId="3396845F">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381000" cy="495300"/>
                  <wp:effectExtent l="0" t="0" r="0" b="0"/>
                  <wp:docPr id="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pic:cNvPicPr>
                            <a:picLocks noChangeAspect="1"/>
                          </pic:cNvPicPr>
                        </pic:nvPicPr>
                        <pic:blipFill>
                          <a:blip r:embed="rId7"/>
                          <a:stretch>
                            <a:fillRect/>
                          </a:stretch>
                        </pic:blipFill>
                        <pic:spPr>
                          <a:xfrm>
                            <a:off x="0" y="0"/>
                            <a:ext cx="381000" cy="495300"/>
                          </a:xfrm>
                          <a:prstGeom prst="rect">
                            <a:avLst/>
                          </a:prstGeom>
                          <a:noFill/>
                          <a:ln>
                            <a:noFill/>
                          </a:ln>
                        </pic:spPr>
                      </pic:pic>
                    </a:graphicData>
                  </a:graphic>
                </wp:inline>
              </w:drawing>
            </w:r>
          </w:p>
        </w:tc>
        <w:tc>
          <w:tcPr>
            <w:tcW w:w="3256" w:type="pct"/>
            <w:tcBorders>
              <w:top w:val="single" w:color="auto" w:sz="4" w:space="0"/>
              <w:bottom w:val="nil"/>
            </w:tcBorders>
            <w:noWrap w:val="0"/>
            <w:vAlign w:val="center"/>
          </w:tcPr>
          <w:p w14:paraId="573A1B00">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吸取蛋白提取过程中的蛋白上清，减少污染物，提高蛋白定量准确度</w:t>
            </w:r>
          </w:p>
        </w:tc>
      </w:tr>
      <w:tr w14:paraId="354BA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noWrap w:val="0"/>
            <w:vAlign w:val="center"/>
          </w:tcPr>
          <w:p w14:paraId="5AE56F8D">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恒温混匀仪</w:t>
            </w:r>
          </w:p>
        </w:tc>
        <w:tc>
          <w:tcPr>
            <w:tcW w:w="822" w:type="pct"/>
            <w:tcBorders>
              <w:top w:val="nil"/>
              <w:bottom w:val="nil"/>
            </w:tcBorders>
            <w:noWrap w:val="0"/>
            <w:vAlign w:val="center"/>
          </w:tcPr>
          <w:p w14:paraId="0DEE36AF">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609600" cy="508000"/>
                  <wp:effectExtent l="0" t="0" r="0" b="6350"/>
                  <wp:docPr id="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7"/>
                          <pic:cNvPicPr>
                            <a:picLocks noChangeAspect="1"/>
                          </pic:cNvPicPr>
                        </pic:nvPicPr>
                        <pic:blipFill>
                          <a:blip r:embed="rId8"/>
                          <a:stretch>
                            <a:fillRect/>
                          </a:stretch>
                        </pic:blipFill>
                        <pic:spPr>
                          <a:xfrm>
                            <a:off x="0" y="0"/>
                            <a:ext cx="609600" cy="508000"/>
                          </a:xfrm>
                          <a:prstGeom prst="rect">
                            <a:avLst/>
                          </a:prstGeom>
                          <a:noFill/>
                          <a:ln>
                            <a:noFill/>
                          </a:ln>
                        </pic:spPr>
                      </pic:pic>
                    </a:graphicData>
                  </a:graphic>
                </wp:inline>
              </w:drawing>
            </w:r>
          </w:p>
        </w:tc>
        <w:tc>
          <w:tcPr>
            <w:tcW w:w="3256" w:type="pct"/>
            <w:tcBorders>
              <w:top w:val="nil"/>
              <w:bottom w:val="nil"/>
            </w:tcBorders>
            <w:noWrap w:val="0"/>
            <w:vAlign w:val="center"/>
          </w:tcPr>
          <w:p w14:paraId="2C523C95">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提供95℃及37℃的恒温条件，促进蛋白质的裂解与酶解</w:t>
            </w:r>
          </w:p>
        </w:tc>
      </w:tr>
      <w:tr w14:paraId="5153C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noWrap w:val="0"/>
            <w:vAlign w:val="center"/>
          </w:tcPr>
          <w:p w14:paraId="1B051532">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冷冻/常温离心机</w:t>
            </w:r>
          </w:p>
        </w:tc>
        <w:tc>
          <w:tcPr>
            <w:tcW w:w="822" w:type="pct"/>
            <w:tcBorders>
              <w:top w:val="nil"/>
              <w:bottom w:val="nil"/>
            </w:tcBorders>
            <w:noWrap w:val="0"/>
            <w:vAlign w:val="center"/>
          </w:tcPr>
          <w:p w14:paraId="268958A0">
            <w:pPr>
              <w:spacing w:line="240" w:lineRule="auto"/>
              <w:jc w:val="center"/>
              <w:rPr>
                <w:rFonts w:hint="eastAsia" w:ascii="Times New Roman" w:hAnsi="Times New Roman" w:eastAsia="微软雅黑" w:cs="Times New Roman"/>
                <w:sz w:val="18"/>
                <w:szCs w:val="18"/>
                <w:lang w:eastAsia="zh-CN"/>
              </w:rPr>
            </w:pPr>
            <w:r>
              <w:drawing>
                <wp:inline distT="0" distB="0" distL="114300" distR="114300">
                  <wp:extent cx="666115" cy="582930"/>
                  <wp:effectExtent l="0" t="0" r="635" b="7620"/>
                  <wp:docPr id="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pic:cNvPicPr>
                            <a:picLocks noChangeAspect="1"/>
                          </pic:cNvPicPr>
                        </pic:nvPicPr>
                        <pic:blipFill>
                          <a:blip r:embed="rId9"/>
                          <a:stretch>
                            <a:fillRect/>
                          </a:stretch>
                        </pic:blipFill>
                        <pic:spPr>
                          <a:xfrm>
                            <a:off x="0" y="0"/>
                            <a:ext cx="666115" cy="582930"/>
                          </a:xfrm>
                          <a:prstGeom prst="rect">
                            <a:avLst/>
                          </a:prstGeom>
                          <a:noFill/>
                          <a:ln>
                            <a:noFill/>
                          </a:ln>
                        </pic:spPr>
                      </pic:pic>
                    </a:graphicData>
                  </a:graphic>
                </wp:inline>
              </w:drawing>
            </w:r>
          </w:p>
        </w:tc>
        <w:tc>
          <w:tcPr>
            <w:tcW w:w="3256" w:type="pct"/>
            <w:tcBorders>
              <w:top w:val="nil"/>
              <w:bottom w:val="nil"/>
            </w:tcBorders>
            <w:noWrap w:val="0"/>
            <w:vAlign w:val="center"/>
          </w:tcPr>
          <w:p w14:paraId="31F1B4CF">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冷冻离心机用于蛋白提取，常温离心机用于肽段脱盐，适配器支持1.5/2ml离心管</w:t>
            </w:r>
            <w:r>
              <w:rPr>
                <w:rFonts w:hint="eastAsia" w:ascii="Times New Roman" w:hAnsi="Times New Roman" w:eastAsia="微软雅黑" w:cs="Times New Roman"/>
                <w:sz w:val="18"/>
                <w:szCs w:val="18"/>
                <w:lang w:eastAsia="zh-CN"/>
              </w:rPr>
              <w:t>，</w:t>
            </w:r>
            <w:r>
              <w:rPr>
                <w:rFonts w:hint="eastAsia" w:ascii="Times New Roman" w:hAnsi="Times New Roman" w:eastAsia="微软雅黑" w:cs="Times New Roman"/>
                <w:sz w:val="18"/>
                <w:szCs w:val="18"/>
                <w:lang w:val="en-US" w:eastAsia="zh-CN"/>
              </w:rPr>
              <w:t>高通量操作需要适配96孔板</w:t>
            </w:r>
          </w:p>
        </w:tc>
      </w:tr>
      <w:tr w14:paraId="6423B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921" w:type="pct"/>
            <w:tcBorders>
              <w:top w:val="nil"/>
              <w:bottom w:val="single" w:color="auto" w:sz="4" w:space="0"/>
            </w:tcBorders>
            <w:noWrap w:val="0"/>
            <w:vAlign w:val="center"/>
          </w:tcPr>
          <w:p w14:paraId="7E029E45">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真空离心浓缩仪</w:t>
            </w:r>
          </w:p>
        </w:tc>
        <w:tc>
          <w:tcPr>
            <w:tcW w:w="822" w:type="pct"/>
            <w:tcBorders>
              <w:top w:val="nil"/>
              <w:bottom w:val="single" w:color="auto" w:sz="4" w:space="0"/>
            </w:tcBorders>
            <w:noWrap w:val="0"/>
            <w:vAlign w:val="center"/>
          </w:tcPr>
          <w:p w14:paraId="71789F85">
            <w:pPr>
              <w:spacing w:line="240" w:lineRule="auto"/>
              <w:jc w:val="left"/>
              <w:rPr>
                <w:rFonts w:ascii="Times New Roman" w:hAnsi="Times New Roman" w:eastAsia="微软雅黑" w:cs="Times New Roman"/>
                <w:sz w:val="18"/>
                <w:szCs w:val="18"/>
              </w:rPr>
            </w:pPr>
            <w:r>
              <w:rPr>
                <w:rFonts w:hint="default" w:ascii="Times New Roman" w:hAnsi="Times New Roman" w:eastAsia="微软雅黑" w:cs="Times New Roman"/>
              </w:rPr>
              <w:drawing>
                <wp:inline distT="0" distB="0" distL="114300" distR="114300">
                  <wp:extent cx="759460" cy="937895"/>
                  <wp:effectExtent l="0" t="0" r="2540" b="14605"/>
                  <wp:docPr id="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0"/>
                          <pic:cNvPicPr>
                            <a:picLocks noChangeAspect="1"/>
                          </pic:cNvPicPr>
                        </pic:nvPicPr>
                        <pic:blipFill>
                          <a:blip r:embed="rId10"/>
                          <a:stretch>
                            <a:fillRect/>
                          </a:stretch>
                        </pic:blipFill>
                        <pic:spPr>
                          <a:xfrm>
                            <a:off x="0" y="0"/>
                            <a:ext cx="759460" cy="937895"/>
                          </a:xfrm>
                          <a:prstGeom prst="rect">
                            <a:avLst/>
                          </a:prstGeom>
                          <a:noFill/>
                          <a:ln>
                            <a:noFill/>
                          </a:ln>
                        </pic:spPr>
                      </pic:pic>
                    </a:graphicData>
                  </a:graphic>
                </wp:inline>
              </w:drawing>
            </w:r>
          </w:p>
        </w:tc>
        <w:tc>
          <w:tcPr>
            <w:tcW w:w="3256" w:type="pct"/>
            <w:tcBorders>
              <w:top w:val="nil"/>
              <w:bottom w:val="single" w:color="auto" w:sz="4" w:space="0"/>
            </w:tcBorders>
            <w:noWrap w:val="0"/>
            <w:vAlign w:val="center"/>
          </w:tcPr>
          <w:p w14:paraId="75F2CF83">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脱盐后的肽段抽干</w:t>
            </w:r>
          </w:p>
        </w:tc>
      </w:tr>
    </w:tbl>
    <w:p w14:paraId="2B213E30">
      <w:pPr>
        <w:spacing w:line="240" w:lineRule="auto"/>
        <w:rPr>
          <w:rFonts w:ascii="Times New Roman" w:hAnsi="Times New Roman" w:eastAsia="微软雅黑" w:cs="Times New Roman"/>
          <w:b/>
          <w:bCs/>
          <w:sz w:val="21"/>
          <w:szCs w:val="21"/>
        </w:rPr>
      </w:pPr>
    </w:p>
    <w:p w14:paraId="24A4589B">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3.2 试剂</w:t>
      </w:r>
    </w:p>
    <w:p w14:paraId="6A029381">
      <w:pPr>
        <w:widowControl/>
        <w:numPr>
          <w:ilvl w:val="0"/>
          <w:numId w:val="2"/>
        </w:numPr>
        <w:spacing w:line="240" w:lineRule="auto"/>
        <w:jc w:val="left"/>
        <w:rPr>
          <w:rFonts w:ascii="Times New Roman" w:hAnsi="Times New Roman" w:eastAsia="微软雅黑" w:cs="Times New Roman"/>
          <w:sz w:val="21"/>
          <w:szCs w:val="21"/>
        </w:rPr>
      </w:pPr>
      <w:r>
        <w:rPr>
          <w:rFonts w:ascii="Times New Roman" w:hAnsi="Times New Roman" w:eastAsia="微软雅黑" w:cs="Times New Roman"/>
          <w:color w:val="000000"/>
          <w:kern w:val="0"/>
          <w:sz w:val="21"/>
          <w:szCs w:val="21"/>
          <w:lang w:bidi="ar"/>
        </w:rPr>
        <w:t xml:space="preserve">Trifluoroacetic acid (TFA)  </w:t>
      </w:r>
    </w:p>
    <w:p w14:paraId="129E0443">
      <w:pPr>
        <w:widowControl/>
        <w:numPr>
          <w:ilvl w:val="0"/>
          <w:numId w:val="2"/>
        </w:numPr>
        <w:spacing w:line="240" w:lineRule="auto"/>
        <w:jc w:val="left"/>
        <w:rPr>
          <w:rFonts w:ascii="Times New Roman" w:hAnsi="Times New Roman" w:eastAsia="微软雅黑" w:cs="Times New Roman"/>
          <w:sz w:val="21"/>
          <w:szCs w:val="21"/>
        </w:rPr>
      </w:pPr>
      <w:r>
        <w:rPr>
          <w:rFonts w:ascii="Times New Roman" w:hAnsi="Times New Roman" w:eastAsia="微软雅黑" w:cs="Times New Roman"/>
          <w:color w:val="000000"/>
          <w:kern w:val="0"/>
          <w:sz w:val="21"/>
          <w:szCs w:val="21"/>
          <w:lang w:bidi="ar"/>
        </w:rPr>
        <w:t xml:space="preserve">Acetonitrile (ACN), LC-MS Grade </w:t>
      </w:r>
    </w:p>
    <w:p w14:paraId="66EE28B4">
      <w:pPr>
        <w:widowControl/>
        <w:numPr>
          <w:ilvl w:val="0"/>
          <w:numId w:val="2"/>
        </w:numPr>
        <w:spacing w:line="240" w:lineRule="auto"/>
        <w:jc w:val="left"/>
        <w:rPr>
          <w:rFonts w:ascii="Times New Roman" w:hAnsi="Times New Roman" w:eastAsia="微软雅黑" w:cs="Times New Roman"/>
          <w:sz w:val="21"/>
          <w:szCs w:val="21"/>
        </w:rPr>
      </w:pPr>
      <w:r>
        <w:rPr>
          <w:rFonts w:ascii="Times New Roman" w:hAnsi="Times New Roman" w:eastAsia="微软雅黑" w:cs="Times New Roman"/>
          <w:color w:val="000000"/>
          <w:kern w:val="0"/>
          <w:sz w:val="21"/>
          <w:szCs w:val="21"/>
          <w:lang w:bidi="ar"/>
        </w:rPr>
        <w:t xml:space="preserve">Water, LC-MS Grade  </w:t>
      </w:r>
    </w:p>
    <w:p w14:paraId="24F593A4">
      <w:pPr>
        <w:widowControl/>
        <w:numPr>
          <w:ilvl w:val="0"/>
          <w:numId w:val="2"/>
        </w:numPr>
        <w:spacing w:line="240" w:lineRule="auto"/>
        <w:jc w:val="left"/>
        <w:rPr>
          <w:rFonts w:ascii="Times New Roman" w:hAnsi="Times New Roman" w:eastAsia="微软雅黑" w:cs="Times New Roman"/>
          <w:sz w:val="21"/>
          <w:szCs w:val="21"/>
        </w:rPr>
      </w:pPr>
      <w:r>
        <w:rPr>
          <w:rFonts w:ascii="Times New Roman" w:hAnsi="Times New Roman" w:eastAsia="微软雅黑" w:cs="Times New Roman"/>
          <w:color w:val="000000"/>
          <w:kern w:val="0"/>
          <w:sz w:val="21"/>
          <w:szCs w:val="21"/>
          <w:lang w:bidi="ar"/>
        </w:rPr>
        <w:t xml:space="preserve">Methanol (MeOH), Optima™ LC-MS Grade </w:t>
      </w:r>
    </w:p>
    <w:p w14:paraId="7ED97172">
      <w:pPr>
        <w:widowControl/>
        <w:numPr>
          <w:ilvl w:val="0"/>
          <w:numId w:val="2"/>
        </w:numPr>
        <w:spacing w:line="240" w:lineRule="auto"/>
        <w:jc w:val="left"/>
        <w:rPr>
          <w:rFonts w:ascii="Times New Roman" w:hAnsi="Times New Roman" w:eastAsia="微软雅黑" w:cs="Times New Roman"/>
          <w:b/>
          <w:bCs/>
          <w:sz w:val="21"/>
          <w:szCs w:val="21"/>
        </w:rPr>
      </w:pPr>
      <w:r>
        <w:rPr>
          <w:rFonts w:ascii="Times New Roman" w:hAnsi="Times New Roman" w:eastAsia="微软雅黑" w:cs="Times New Roman"/>
          <w:color w:val="000000"/>
          <w:kern w:val="0"/>
          <w:sz w:val="21"/>
          <w:szCs w:val="21"/>
          <w:lang w:bidi="ar"/>
        </w:rPr>
        <w:t>Low Protein Binding Microcentrifuge Tubes, 2.0 mL/1.5mL</w:t>
      </w:r>
    </w:p>
    <w:p w14:paraId="6A571C04">
      <w:pPr>
        <w:widowControl/>
        <w:numPr>
          <w:ilvl w:val="0"/>
          <w:numId w:val="0"/>
        </w:numPr>
        <w:spacing w:line="240" w:lineRule="auto"/>
        <w:jc w:val="left"/>
        <w:rPr>
          <w:rFonts w:ascii="Times New Roman" w:hAnsi="Times New Roman" w:eastAsia="微软雅黑" w:cs="Times New Roman"/>
          <w:color w:val="000000"/>
          <w:kern w:val="0"/>
          <w:sz w:val="21"/>
          <w:szCs w:val="21"/>
          <w:lang w:bidi="ar"/>
        </w:rPr>
      </w:pPr>
    </w:p>
    <w:p w14:paraId="232BEA02">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4. 试剂准备</w:t>
      </w:r>
    </w:p>
    <w:p w14:paraId="06F88810">
      <w:pPr>
        <w:widowControl/>
        <w:spacing w:line="240" w:lineRule="auto"/>
        <w:jc w:val="left"/>
        <w:rPr>
          <w:rFonts w:hint="default" w:ascii="Times New Roman" w:hAnsi="Times New Roman" w:eastAsia="微软雅黑" w:cs="Times New Roman"/>
          <w:color w:val="000000"/>
          <w:kern w:val="0"/>
          <w:sz w:val="21"/>
          <w:szCs w:val="21"/>
          <w:lang w:bidi="ar"/>
        </w:rPr>
      </w:pPr>
      <w:r>
        <w:rPr>
          <w:rFonts w:hint="default" w:ascii="Times New Roman" w:hAnsi="Times New Roman" w:eastAsia="微软雅黑" w:cs="Times New Roman"/>
          <w:b/>
          <w:bCs/>
          <w:color w:val="000000"/>
          <w:kern w:val="0"/>
          <w:sz w:val="21"/>
          <w:szCs w:val="21"/>
          <w:lang w:bidi="ar"/>
        </w:rPr>
        <w:t>Condition buffer：</w:t>
      </w:r>
      <w:r>
        <w:rPr>
          <w:rFonts w:hint="default" w:ascii="Times New Roman" w:hAnsi="Times New Roman" w:eastAsia="微软雅黑" w:cs="Times New Roman"/>
          <w:color w:val="000000"/>
          <w:kern w:val="0"/>
          <w:sz w:val="21"/>
          <w:szCs w:val="21"/>
          <w:lang w:bidi="ar"/>
        </w:rPr>
        <w:t>70%ACN，0.2%TFA，每个样本需要100μl，2</w:t>
      </w:r>
      <w:r>
        <w:rPr>
          <w:rFonts w:hint="eastAsia" w:ascii="Times New Roman" w:hAnsi="Times New Roman" w:eastAsia="微软雅黑" w:cs="Times New Roman"/>
          <w:color w:val="000000"/>
          <w:kern w:val="0"/>
          <w:sz w:val="21"/>
          <w:szCs w:val="21"/>
          <w:lang w:val="en-US" w:eastAsia="zh-CN" w:bidi="ar"/>
        </w:rPr>
        <w:t>0</w:t>
      </w:r>
      <w:r>
        <w:rPr>
          <w:rFonts w:hint="default" w:ascii="Times New Roman" w:hAnsi="Times New Roman" w:eastAsia="微软雅黑" w:cs="Times New Roman"/>
          <w:color w:val="000000"/>
          <w:kern w:val="0"/>
          <w:sz w:val="21"/>
          <w:szCs w:val="21"/>
          <w:lang w:bidi="ar"/>
        </w:rPr>
        <w:t>μl TFA加入到</w:t>
      </w:r>
      <w:r>
        <w:rPr>
          <w:rFonts w:hint="eastAsia" w:ascii="Times New Roman" w:hAnsi="Times New Roman" w:eastAsia="微软雅黑" w:cs="Times New Roman"/>
          <w:color w:val="000000"/>
          <w:kern w:val="0"/>
          <w:sz w:val="21"/>
          <w:szCs w:val="21"/>
          <w:lang w:val="en-US" w:eastAsia="zh-CN" w:bidi="ar"/>
        </w:rPr>
        <w:t>2.98m</w:t>
      </w:r>
      <w:r>
        <w:rPr>
          <w:rFonts w:hint="default" w:ascii="Times New Roman" w:hAnsi="Times New Roman" w:eastAsia="微软雅黑" w:cs="Times New Roman"/>
          <w:color w:val="000000"/>
          <w:kern w:val="0"/>
          <w:sz w:val="21"/>
          <w:szCs w:val="21"/>
          <w:lang w:bidi="ar"/>
        </w:rPr>
        <w:t>l超纯水和7</w:t>
      </w:r>
      <w:r>
        <w:rPr>
          <w:rFonts w:hint="eastAsia" w:ascii="Times New Roman" w:hAnsi="Times New Roman" w:eastAsia="微软雅黑" w:cs="Times New Roman"/>
          <w:color w:val="000000"/>
          <w:kern w:val="0"/>
          <w:sz w:val="21"/>
          <w:szCs w:val="21"/>
          <w:lang w:val="en-US" w:eastAsia="zh-CN" w:bidi="ar"/>
        </w:rPr>
        <w:t>m</w:t>
      </w:r>
      <w:r>
        <w:rPr>
          <w:rFonts w:hint="default" w:ascii="Times New Roman" w:hAnsi="Times New Roman" w:eastAsia="微软雅黑" w:cs="Times New Roman"/>
          <w:color w:val="000000"/>
          <w:kern w:val="0"/>
          <w:sz w:val="21"/>
          <w:szCs w:val="21"/>
          <w:lang w:bidi="ar"/>
        </w:rPr>
        <w:t>l无水乙腈中，混匀；</w:t>
      </w:r>
    </w:p>
    <w:p w14:paraId="584BCDFD">
      <w:pPr>
        <w:widowControl/>
        <w:spacing w:line="240" w:lineRule="auto"/>
        <w:jc w:val="left"/>
        <w:rPr>
          <w:rFonts w:hint="default" w:ascii="Times New Roman" w:hAnsi="Times New Roman" w:eastAsia="微软雅黑" w:cs="Times New Roman"/>
          <w:color w:val="000000"/>
          <w:kern w:val="0"/>
          <w:sz w:val="21"/>
          <w:szCs w:val="21"/>
          <w:lang w:bidi="ar"/>
        </w:rPr>
      </w:pPr>
      <w:r>
        <w:rPr>
          <w:rFonts w:hint="default" w:ascii="Times New Roman" w:hAnsi="Times New Roman" w:eastAsia="微软雅黑" w:cs="Times New Roman"/>
          <w:b/>
          <w:bCs/>
          <w:color w:val="000000"/>
          <w:kern w:val="0"/>
          <w:sz w:val="21"/>
          <w:szCs w:val="21"/>
          <w:lang w:bidi="ar"/>
        </w:rPr>
        <w:t>Wash buffer：</w:t>
      </w:r>
      <w:r>
        <w:rPr>
          <w:rFonts w:hint="default" w:ascii="Times New Roman" w:hAnsi="Times New Roman" w:eastAsia="微软雅黑" w:cs="Times New Roman"/>
          <w:color w:val="000000"/>
          <w:kern w:val="0"/>
          <w:sz w:val="21"/>
          <w:szCs w:val="21"/>
          <w:lang w:bidi="ar"/>
        </w:rPr>
        <w:t>0.2%TFA，每个样本需要300μl，</w:t>
      </w:r>
      <w:r>
        <w:rPr>
          <w:rFonts w:hint="eastAsia" w:ascii="Times New Roman" w:hAnsi="Times New Roman" w:eastAsia="微软雅黑" w:cs="Times New Roman"/>
          <w:color w:val="000000"/>
          <w:kern w:val="0"/>
          <w:sz w:val="21"/>
          <w:szCs w:val="21"/>
          <w:lang w:val="en-US" w:eastAsia="zh-CN" w:bidi="ar"/>
        </w:rPr>
        <w:t>60</w:t>
      </w:r>
      <w:r>
        <w:rPr>
          <w:rFonts w:hint="default" w:ascii="Times New Roman" w:hAnsi="Times New Roman" w:eastAsia="微软雅黑" w:cs="Times New Roman"/>
          <w:color w:val="000000"/>
          <w:kern w:val="0"/>
          <w:sz w:val="21"/>
          <w:szCs w:val="21"/>
          <w:lang w:bidi="ar"/>
        </w:rPr>
        <w:t>μl TFA加入到</w:t>
      </w:r>
      <w:r>
        <w:rPr>
          <w:rFonts w:hint="eastAsia" w:ascii="Times New Roman" w:hAnsi="Times New Roman" w:eastAsia="微软雅黑" w:cs="Times New Roman"/>
          <w:color w:val="000000"/>
          <w:kern w:val="0"/>
          <w:sz w:val="21"/>
          <w:szCs w:val="21"/>
          <w:lang w:val="en-US" w:eastAsia="zh-CN" w:bidi="ar"/>
        </w:rPr>
        <w:t>29.94m</w:t>
      </w:r>
      <w:r>
        <w:rPr>
          <w:rFonts w:hint="default" w:ascii="Times New Roman" w:hAnsi="Times New Roman" w:eastAsia="微软雅黑" w:cs="Times New Roman"/>
          <w:color w:val="000000"/>
          <w:kern w:val="0"/>
          <w:sz w:val="21"/>
          <w:szCs w:val="21"/>
          <w:lang w:bidi="ar"/>
        </w:rPr>
        <w:t>l超纯水，混匀；</w:t>
      </w:r>
    </w:p>
    <w:p w14:paraId="3DA6AAC8">
      <w:pPr>
        <w:spacing w:line="240" w:lineRule="auto"/>
        <w:rPr>
          <w:rFonts w:ascii="Times New Roman" w:hAnsi="Times New Roman" w:eastAsia="微软雅黑" w:cs="Times New Roman"/>
          <w:color w:val="000000"/>
          <w:kern w:val="0"/>
          <w:sz w:val="21"/>
          <w:szCs w:val="21"/>
          <w:lang w:bidi="ar"/>
        </w:rPr>
      </w:pPr>
      <w:r>
        <w:rPr>
          <w:rFonts w:hint="default" w:ascii="Times New Roman" w:hAnsi="Times New Roman" w:eastAsia="微软雅黑" w:cs="Times New Roman"/>
          <w:b/>
          <w:bCs/>
          <w:color w:val="000000"/>
          <w:kern w:val="0"/>
          <w:sz w:val="21"/>
          <w:szCs w:val="21"/>
          <w:lang w:bidi="ar"/>
        </w:rPr>
        <w:t>Elution buffer：</w:t>
      </w:r>
      <w:r>
        <w:rPr>
          <w:rFonts w:hint="default" w:ascii="Times New Roman" w:hAnsi="Times New Roman" w:eastAsia="微软雅黑" w:cs="Times New Roman"/>
          <w:color w:val="000000"/>
          <w:kern w:val="0"/>
          <w:sz w:val="21"/>
          <w:szCs w:val="21"/>
          <w:lang w:bidi="ar"/>
        </w:rPr>
        <w:t>90%ACN，0.2%TFA，每个样本需要</w:t>
      </w:r>
      <w:r>
        <w:rPr>
          <w:rFonts w:hint="eastAsia" w:ascii="Times New Roman" w:hAnsi="Times New Roman" w:eastAsia="微软雅黑" w:cs="Times New Roman"/>
          <w:color w:val="000000"/>
          <w:kern w:val="0"/>
          <w:sz w:val="21"/>
          <w:szCs w:val="21"/>
          <w:lang w:val="en-US" w:eastAsia="zh-CN" w:bidi="ar"/>
        </w:rPr>
        <w:t>10</w:t>
      </w:r>
      <w:r>
        <w:rPr>
          <w:rFonts w:hint="default" w:ascii="Times New Roman" w:hAnsi="Times New Roman" w:eastAsia="微软雅黑" w:cs="Times New Roman"/>
          <w:color w:val="000000"/>
          <w:kern w:val="0"/>
          <w:sz w:val="21"/>
          <w:szCs w:val="21"/>
          <w:lang w:bidi="ar"/>
        </w:rPr>
        <w:t>0μl，2</w:t>
      </w:r>
      <w:r>
        <w:rPr>
          <w:rFonts w:hint="eastAsia" w:ascii="Times New Roman" w:hAnsi="Times New Roman" w:eastAsia="微软雅黑" w:cs="Times New Roman"/>
          <w:color w:val="000000"/>
          <w:kern w:val="0"/>
          <w:sz w:val="21"/>
          <w:szCs w:val="21"/>
          <w:lang w:val="en-US" w:eastAsia="zh-CN" w:bidi="ar"/>
        </w:rPr>
        <w:t>0</w:t>
      </w:r>
      <w:r>
        <w:rPr>
          <w:rFonts w:hint="default" w:ascii="Times New Roman" w:hAnsi="Times New Roman" w:eastAsia="微软雅黑" w:cs="Times New Roman"/>
          <w:color w:val="000000"/>
          <w:kern w:val="0"/>
          <w:sz w:val="21"/>
          <w:szCs w:val="21"/>
          <w:lang w:bidi="ar"/>
        </w:rPr>
        <w:t>μl TFA加入到</w:t>
      </w:r>
      <w:r>
        <w:rPr>
          <w:rFonts w:hint="eastAsia" w:ascii="Times New Roman" w:hAnsi="Times New Roman" w:eastAsia="微软雅黑" w:cs="Times New Roman"/>
          <w:color w:val="000000"/>
          <w:kern w:val="0"/>
          <w:sz w:val="21"/>
          <w:szCs w:val="21"/>
          <w:lang w:val="en-US" w:eastAsia="zh-CN" w:bidi="ar"/>
        </w:rPr>
        <w:t>1.98m</w:t>
      </w:r>
      <w:r>
        <w:rPr>
          <w:rFonts w:hint="default" w:ascii="Times New Roman" w:hAnsi="Times New Roman" w:eastAsia="微软雅黑" w:cs="Times New Roman"/>
          <w:color w:val="000000"/>
          <w:kern w:val="0"/>
          <w:sz w:val="21"/>
          <w:szCs w:val="21"/>
          <w:lang w:bidi="ar"/>
        </w:rPr>
        <w:t>l超纯水和</w:t>
      </w:r>
      <w:r>
        <w:rPr>
          <w:rFonts w:hint="eastAsia" w:ascii="Times New Roman" w:hAnsi="Times New Roman" w:eastAsia="微软雅黑" w:cs="Times New Roman"/>
          <w:color w:val="000000"/>
          <w:kern w:val="0"/>
          <w:sz w:val="21"/>
          <w:szCs w:val="21"/>
          <w:lang w:val="en-US" w:eastAsia="zh-CN" w:bidi="ar"/>
        </w:rPr>
        <w:t>9m</w:t>
      </w:r>
      <w:r>
        <w:rPr>
          <w:rFonts w:hint="default" w:ascii="Times New Roman" w:hAnsi="Times New Roman" w:eastAsia="微软雅黑" w:cs="Times New Roman"/>
          <w:color w:val="000000"/>
          <w:kern w:val="0"/>
          <w:sz w:val="21"/>
          <w:szCs w:val="21"/>
          <w:lang w:bidi="ar"/>
        </w:rPr>
        <w:t>l无水乙腈中，混匀。</w:t>
      </w:r>
    </w:p>
    <w:p w14:paraId="3DB3F0D6">
      <w:pPr>
        <w:spacing w:line="240" w:lineRule="auto"/>
        <w:rPr>
          <w:rFonts w:ascii="Times New Roman" w:hAnsi="Times New Roman" w:eastAsia="微软雅黑" w:cs="Times New Roman"/>
          <w:color w:val="000000"/>
          <w:kern w:val="0"/>
          <w:sz w:val="21"/>
          <w:szCs w:val="21"/>
          <w:lang w:bidi="ar"/>
        </w:rPr>
      </w:pPr>
    </w:p>
    <w:p w14:paraId="2DD42541">
      <w:pPr>
        <w:spacing w:line="240" w:lineRule="auto"/>
        <w:rPr>
          <w:rFonts w:hint="default" w:ascii="Times New Roman" w:hAnsi="Times New Roman" w:eastAsia="微软雅黑" w:cs="Times New Roman"/>
          <w:color w:val="FF0000"/>
          <w:kern w:val="0"/>
          <w:sz w:val="21"/>
          <w:szCs w:val="21"/>
          <w:lang w:bidi="ar"/>
        </w:rPr>
      </w:pPr>
      <w:r>
        <w:rPr>
          <w:rFonts w:hint="default" w:ascii="Times New Roman" w:hAnsi="Times New Roman" w:eastAsia="微软雅黑" w:cs="Times New Roman"/>
          <w:b/>
          <w:bCs/>
          <w:sz w:val="21"/>
          <w:szCs w:val="21"/>
        </w:rPr>
        <w:t>5. 操作过程</w:t>
      </w:r>
    </w:p>
    <w:p w14:paraId="56A9644C">
      <w:pPr>
        <w:spacing w:line="240" w:lineRule="auto"/>
        <w:rPr>
          <w:rFonts w:hint="default" w:ascii="Times New Roman" w:hAnsi="Times New Roman" w:eastAsia="微软雅黑" w:cs="Times New Roman"/>
          <w:b/>
          <w:bCs/>
          <w:sz w:val="21"/>
          <w:szCs w:val="21"/>
        </w:rPr>
      </w:pPr>
      <w:r>
        <w:rPr>
          <w:rFonts w:hint="default" w:ascii="Times New Roman" w:hAnsi="Times New Roman" w:eastAsia="微软雅黑" w:cs="Times New Roman"/>
          <w:b/>
          <w:bCs/>
          <w:sz w:val="21"/>
          <w:szCs w:val="21"/>
        </w:rPr>
        <w:t>5.</w:t>
      </w:r>
      <w:r>
        <w:rPr>
          <w:rFonts w:hint="default" w:ascii="Times New Roman" w:hAnsi="Times New Roman" w:eastAsia="微软雅黑" w:cs="Times New Roman"/>
          <w:b/>
          <w:bCs/>
          <w:sz w:val="21"/>
          <w:szCs w:val="21"/>
          <w:lang w:val="en-US" w:eastAsia="zh-CN"/>
        </w:rPr>
        <w:t>1</w:t>
      </w:r>
      <w:r>
        <w:rPr>
          <w:rFonts w:hint="default" w:ascii="Times New Roman" w:hAnsi="Times New Roman" w:eastAsia="微软雅黑" w:cs="Times New Roman"/>
          <w:b/>
          <w:bCs/>
          <w:sz w:val="21"/>
          <w:szCs w:val="21"/>
        </w:rPr>
        <w:t xml:space="preserve"> 蛋白酶解</w:t>
      </w:r>
    </w:p>
    <w:p w14:paraId="2D0649B8">
      <w:pPr>
        <w:spacing w:line="240" w:lineRule="auto"/>
        <w:rPr>
          <w:rFonts w:hint="default" w:ascii="Times New Roman" w:hAnsi="Times New Roman" w:eastAsia="微软雅黑" w:cs="Times New Roman"/>
          <w:color w:val="000000"/>
          <w:kern w:val="0"/>
          <w:sz w:val="21"/>
          <w:szCs w:val="21"/>
          <w:lang w:bidi="ar"/>
        </w:rPr>
      </w:pPr>
      <w:r>
        <w:rPr>
          <w:rFonts w:hint="default" w:ascii="Times New Roman" w:hAnsi="Times New Roman" w:eastAsia="微软雅黑" w:cs="Times New Roman"/>
          <w:color w:val="000000"/>
          <w:kern w:val="0"/>
          <w:sz w:val="21"/>
          <w:szCs w:val="21"/>
          <w:lang w:bidi="ar"/>
        </w:rPr>
        <w:t xml:space="preserve">a. </w:t>
      </w:r>
      <w:r>
        <w:rPr>
          <w:rFonts w:hint="default" w:ascii="Times New Roman" w:hAnsi="Times New Roman" w:eastAsia="微软雅黑" w:cs="Times New Roman"/>
          <w:color w:val="000000"/>
          <w:kern w:val="0"/>
          <w:sz w:val="21"/>
          <w:szCs w:val="21"/>
          <w:lang w:val="en-US" w:eastAsia="zh-CN" w:bidi="ar"/>
        </w:rPr>
        <w:t>将</w:t>
      </w:r>
      <w:r>
        <w:rPr>
          <w:rFonts w:hint="default" w:ascii="Times New Roman" w:hAnsi="Times New Roman" w:eastAsia="微软雅黑" w:cs="Times New Roman"/>
          <w:color w:val="000000"/>
          <w:kern w:val="0"/>
          <w:sz w:val="21"/>
          <w:szCs w:val="21"/>
          <w:lang w:bidi="ar"/>
        </w:rPr>
        <w:t>100-10000个细胞</w:t>
      </w:r>
      <w:r>
        <w:rPr>
          <w:rFonts w:hint="default" w:ascii="Times New Roman" w:hAnsi="Times New Roman" w:eastAsia="微软雅黑" w:cs="Times New Roman"/>
          <w:color w:val="000000"/>
          <w:kern w:val="0"/>
          <w:sz w:val="21"/>
          <w:szCs w:val="21"/>
          <w:lang w:val="en-US" w:eastAsia="zh-CN" w:bidi="ar"/>
        </w:rPr>
        <w:t>收集于S板中</w:t>
      </w:r>
      <w:r>
        <w:rPr>
          <w:rFonts w:hint="default" w:ascii="Times New Roman" w:hAnsi="Times New Roman" w:eastAsia="微软雅黑" w:cs="Times New Roman"/>
          <w:color w:val="FF0000"/>
          <w:kern w:val="0"/>
          <w:sz w:val="21"/>
          <w:szCs w:val="21"/>
          <w:lang w:bidi="ar"/>
        </w:rPr>
        <w:t>（</w:t>
      </w:r>
      <w:r>
        <w:rPr>
          <w:rFonts w:hint="default" w:ascii="Times New Roman" w:hAnsi="Times New Roman" w:eastAsia="微软雅黑" w:cs="Times New Roman"/>
          <w:color w:val="FF0000"/>
          <w:kern w:val="0"/>
          <w:sz w:val="21"/>
          <w:szCs w:val="21"/>
          <w:lang w:val="en-US" w:eastAsia="zh-CN" w:bidi="ar"/>
        </w:rPr>
        <w:t>细胞置于PBS体系中，且</w:t>
      </w:r>
      <w:r>
        <w:rPr>
          <w:rFonts w:hint="default" w:ascii="Times New Roman" w:hAnsi="Times New Roman" w:eastAsia="微软雅黑" w:cs="Times New Roman"/>
          <w:color w:val="FF0000"/>
          <w:kern w:val="0"/>
          <w:sz w:val="21"/>
          <w:szCs w:val="21"/>
          <w:lang w:bidi="ar"/>
        </w:rPr>
        <w:t>建议PBS体积不超过5μL）</w:t>
      </w:r>
      <w:r>
        <w:rPr>
          <w:rFonts w:hint="default" w:ascii="Times New Roman" w:hAnsi="Times New Roman" w:eastAsia="微软雅黑" w:cs="Times New Roman"/>
          <w:color w:val="000000"/>
          <w:kern w:val="0"/>
          <w:sz w:val="21"/>
          <w:szCs w:val="21"/>
          <w:lang w:bidi="ar"/>
        </w:rPr>
        <w:t>；</w:t>
      </w:r>
    </w:p>
    <w:p w14:paraId="01ECC5B1">
      <w:pPr>
        <w:spacing w:line="240" w:lineRule="auto"/>
        <w:rPr>
          <w:rFonts w:hint="default" w:ascii="Times New Roman" w:hAnsi="Times New Roman" w:eastAsia="微软雅黑" w:cs="Times New Roman"/>
          <w:color w:val="000000"/>
          <w:kern w:val="0"/>
          <w:sz w:val="21"/>
          <w:szCs w:val="21"/>
          <w:lang w:bidi="ar"/>
        </w:rPr>
      </w:pPr>
      <w:r>
        <w:rPr>
          <w:rFonts w:hint="default" w:ascii="Times New Roman" w:hAnsi="Times New Roman" w:eastAsia="微软雅黑" w:cs="Times New Roman"/>
          <w:color w:val="000000"/>
          <w:kern w:val="0"/>
          <w:sz w:val="21"/>
          <w:szCs w:val="21"/>
          <w:lang w:bidi="ar"/>
        </w:rPr>
        <w:t>b. 加入</w:t>
      </w:r>
      <w:r>
        <w:rPr>
          <w:rFonts w:hint="eastAsia" w:ascii="Times New Roman" w:hAnsi="Times New Roman" w:eastAsia="微软雅黑" w:cs="Times New Roman"/>
          <w:color w:val="000000"/>
          <w:kern w:val="0"/>
          <w:sz w:val="21"/>
          <w:szCs w:val="21"/>
          <w:lang w:val="en-US" w:eastAsia="zh-CN" w:bidi="ar"/>
        </w:rPr>
        <w:t>15</w:t>
      </w:r>
      <w:r>
        <w:rPr>
          <w:rFonts w:hint="default" w:ascii="Times New Roman" w:hAnsi="Times New Roman" w:eastAsia="微软雅黑" w:cs="Times New Roman"/>
          <w:color w:val="000000"/>
          <w:kern w:val="0"/>
          <w:sz w:val="21"/>
          <w:szCs w:val="21"/>
          <w:lang w:bidi="ar"/>
        </w:rPr>
        <w:t xml:space="preserve"> μl试剂A </w:t>
      </w:r>
      <w:r>
        <w:rPr>
          <w:rFonts w:hint="eastAsia" w:ascii="Times New Roman" w:hAnsi="Times New Roman" w:eastAsia="微软雅黑" w:cs="Times New Roman"/>
          <w:color w:val="000000"/>
          <w:kern w:val="0"/>
          <w:sz w:val="21"/>
          <w:szCs w:val="21"/>
          <w:lang w:eastAsia="zh-CN" w:bidi="ar"/>
        </w:rPr>
        <w:t>，</w:t>
      </w:r>
      <w:r>
        <w:rPr>
          <w:rFonts w:hint="default" w:ascii="Times New Roman" w:hAnsi="Times New Roman" w:eastAsia="微软雅黑" w:cs="Times New Roman"/>
          <w:color w:val="000000"/>
          <w:kern w:val="0"/>
          <w:sz w:val="21"/>
          <w:szCs w:val="21"/>
          <w:lang w:bidi="ar"/>
        </w:rPr>
        <w:t>95℃加热5min（95℃，1000</w:t>
      </w:r>
      <w:r>
        <w:rPr>
          <w:rFonts w:hint="eastAsia" w:ascii="Times New Roman" w:hAnsi="Times New Roman" w:eastAsia="微软雅黑" w:cs="Times New Roman"/>
          <w:color w:val="000000"/>
          <w:kern w:val="0"/>
          <w:sz w:val="21"/>
          <w:szCs w:val="21"/>
          <w:lang w:val="en-US" w:eastAsia="zh-CN" w:bidi="ar"/>
        </w:rPr>
        <w:t xml:space="preserve"> </w:t>
      </w:r>
      <w:r>
        <w:rPr>
          <w:rFonts w:hint="default" w:ascii="Times New Roman" w:hAnsi="Times New Roman" w:eastAsia="微软雅黑" w:cs="Times New Roman"/>
          <w:color w:val="000000"/>
          <w:kern w:val="0"/>
          <w:sz w:val="21"/>
          <w:szCs w:val="21"/>
          <w:lang w:bidi="ar"/>
        </w:rPr>
        <w:t>rpm）；</w:t>
      </w:r>
    </w:p>
    <w:p w14:paraId="1896305F">
      <w:pPr>
        <w:spacing w:line="240" w:lineRule="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FF0000"/>
          <w:kern w:val="0"/>
          <w:sz w:val="21"/>
          <w:szCs w:val="21"/>
          <w:lang w:val="en-US" w:eastAsia="zh-CN" w:bidi="ar"/>
        </w:rPr>
        <w:t>注意：如果微量组织样本建议加入试剂</w:t>
      </w:r>
      <w:r>
        <w:rPr>
          <w:rFonts w:hint="eastAsia" w:ascii="Times New Roman" w:hAnsi="Times New Roman" w:eastAsia="微软雅黑" w:cs="Times New Roman"/>
          <w:color w:val="FF0000"/>
          <w:kern w:val="0"/>
          <w:sz w:val="21"/>
          <w:szCs w:val="21"/>
          <w:lang w:val="en-US" w:eastAsia="zh-CN" w:bidi="ar"/>
        </w:rPr>
        <w:t>A</w:t>
      </w:r>
      <w:r>
        <w:rPr>
          <w:rFonts w:hint="default" w:ascii="Times New Roman" w:hAnsi="Times New Roman" w:eastAsia="微软雅黑" w:cs="Times New Roman"/>
          <w:color w:val="FF0000"/>
          <w:kern w:val="0"/>
          <w:sz w:val="21"/>
          <w:szCs w:val="21"/>
          <w:lang w:val="en-US" w:eastAsia="zh-CN" w:bidi="ar"/>
        </w:rPr>
        <w:t>后可采用非接触式超声仪辅助样本裂解，然后进行95℃加热5min。</w:t>
      </w:r>
    </w:p>
    <w:p w14:paraId="2A21177C">
      <w:pPr>
        <w:spacing w:line="240" w:lineRule="auto"/>
        <w:rPr>
          <w:rFonts w:hint="default" w:ascii="Times New Roman" w:hAnsi="Times New Roman" w:eastAsia="微软雅黑" w:cs="Times New Roman"/>
          <w:color w:val="000000"/>
          <w:kern w:val="0"/>
          <w:sz w:val="21"/>
          <w:szCs w:val="21"/>
          <w:lang w:bidi="ar"/>
        </w:rPr>
      </w:pPr>
      <w:r>
        <w:rPr>
          <w:rFonts w:hint="eastAsia" w:ascii="Times New Roman" w:hAnsi="Times New Roman" w:eastAsia="微软雅黑" w:cs="Times New Roman"/>
          <w:color w:val="000000"/>
          <w:kern w:val="0"/>
          <w:sz w:val="21"/>
          <w:szCs w:val="21"/>
          <w:lang w:val="en-US" w:eastAsia="zh-CN" w:bidi="ar"/>
        </w:rPr>
        <w:t>c</w:t>
      </w:r>
      <w:r>
        <w:rPr>
          <w:rFonts w:hint="default" w:ascii="Times New Roman" w:hAnsi="Times New Roman" w:eastAsia="微软雅黑" w:cs="Times New Roman"/>
          <w:color w:val="000000"/>
          <w:kern w:val="0"/>
          <w:sz w:val="21"/>
          <w:szCs w:val="21"/>
          <w:lang w:bidi="ar"/>
        </w:rPr>
        <w:t>. 加热结束待样品恢复至室温后，分别加入</w:t>
      </w:r>
      <w:r>
        <w:rPr>
          <w:rFonts w:hint="eastAsia" w:ascii="Times New Roman" w:hAnsi="Times New Roman" w:eastAsia="微软雅黑" w:cs="Times New Roman"/>
          <w:color w:val="000000"/>
          <w:kern w:val="0"/>
          <w:sz w:val="21"/>
          <w:szCs w:val="21"/>
          <w:lang w:val="en-US" w:eastAsia="zh-CN" w:bidi="ar"/>
        </w:rPr>
        <w:t>15</w:t>
      </w:r>
      <w:r>
        <w:rPr>
          <w:rFonts w:hint="default" w:ascii="Times New Roman" w:hAnsi="Times New Roman" w:eastAsia="微软雅黑" w:cs="Times New Roman"/>
          <w:color w:val="000000"/>
          <w:kern w:val="0"/>
          <w:sz w:val="21"/>
          <w:szCs w:val="21"/>
          <w:lang w:bidi="ar"/>
        </w:rPr>
        <w:t>μl试剂</w:t>
      </w:r>
      <w:r>
        <w:rPr>
          <w:rFonts w:hint="eastAsia" w:ascii="Times New Roman" w:hAnsi="Times New Roman" w:eastAsia="微软雅黑" w:cs="Times New Roman"/>
          <w:color w:val="000000"/>
          <w:kern w:val="0"/>
          <w:sz w:val="21"/>
          <w:szCs w:val="21"/>
          <w:lang w:val="en-US" w:eastAsia="zh-CN" w:bidi="ar"/>
        </w:rPr>
        <w:t>B</w:t>
      </w:r>
      <w:r>
        <w:rPr>
          <w:rFonts w:hint="default" w:ascii="Times New Roman" w:hAnsi="Times New Roman" w:eastAsia="微软雅黑" w:cs="Times New Roman"/>
          <w:color w:val="000000"/>
          <w:kern w:val="0"/>
          <w:sz w:val="21"/>
          <w:szCs w:val="21"/>
          <w:lang w:bidi="ar"/>
        </w:rPr>
        <w:t>，混匀，37℃酶解2 h</w:t>
      </w:r>
      <w:r>
        <w:rPr>
          <w:rFonts w:hint="eastAsia" w:ascii="Times New Roman" w:hAnsi="Times New Roman" w:eastAsia="微软雅黑" w:cs="Times New Roman"/>
          <w:color w:val="000000"/>
          <w:kern w:val="0"/>
          <w:sz w:val="21"/>
          <w:szCs w:val="21"/>
          <w:lang w:val="en-US" w:eastAsia="zh-CN" w:bidi="ar"/>
        </w:rPr>
        <w:t xml:space="preserve"> （</w:t>
      </w:r>
      <w:r>
        <w:rPr>
          <w:rFonts w:hint="default" w:ascii="Times New Roman" w:hAnsi="Times New Roman" w:eastAsia="微软雅黑" w:cs="Times New Roman"/>
          <w:color w:val="000000"/>
          <w:kern w:val="0"/>
          <w:sz w:val="21"/>
          <w:szCs w:val="21"/>
          <w:lang w:bidi="ar"/>
        </w:rPr>
        <w:t>37℃</w:t>
      </w:r>
      <w:r>
        <w:rPr>
          <w:rFonts w:hint="eastAsia" w:ascii="Times New Roman" w:hAnsi="Times New Roman" w:eastAsia="微软雅黑" w:cs="Times New Roman"/>
          <w:color w:val="000000"/>
          <w:kern w:val="0"/>
          <w:sz w:val="21"/>
          <w:szCs w:val="21"/>
          <w:lang w:val="en-US" w:eastAsia="zh-CN" w:bidi="ar"/>
        </w:rPr>
        <w:t>, 800-1000 rpm）</w:t>
      </w:r>
      <w:r>
        <w:rPr>
          <w:rFonts w:hint="default" w:ascii="Times New Roman" w:hAnsi="Times New Roman" w:eastAsia="微软雅黑" w:cs="Times New Roman"/>
          <w:color w:val="000000"/>
          <w:kern w:val="0"/>
          <w:sz w:val="21"/>
          <w:szCs w:val="21"/>
          <w:lang w:bidi="ar"/>
        </w:rPr>
        <w:t>；</w:t>
      </w:r>
    </w:p>
    <w:p w14:paraId="1F241E1A">
      <w:pPr>
        <w:spacing w:line="240" w:lineRule="auto"/>
        <w:rPr>
          <w:rFonts w:hint="default" w:ascii="Times New Roman" w:hAnsi="Times New Roman" w:eastAsia="微软雅黑" w:cs="Times New Roman"/>
          <w:b/>
          <w:bCs/>
          <w:sz w:val="21"/>
          <w:szCs w:val="21"/>
        </w:rPr>
      </w:pPr>
      <w:r>
        <w:rPr>
          <w:rFonts w:hint="eastAsia" w:ascii="Times New Roman" w:hAnsi="Times New Roman" w:eastAsia="微软雅黑" w:cs="Times New Roman"/>
          <w:color w:val="000000"/>
          <w:kern w:val="0"/>
          <w:sz w:val="21"/>
          <w:szCs w:val="21"/>
          <w:lang w:val="en-US" w:eastAsia="zh-CN" w:bidi="ar"/>
        </w:rPr>
        <w:t>d</w:t>
      </w:r>
      <w:r>
        <w:rPr>
          <w:rFonts w:hint="default" w:ascii="Times New Roman" w:hAnsi="Times New Roman" w:eastAsia="微软雅黑" w:cs="Times New Roman"/>
          <w:color w:val="000000"/>
          <w:kern w:val="0"/>
          <w:sz w:val="21"/>
          <w:szCs w:val="21"/>
          <w:lang w:bidi="ar"/>
        </w:rPr>
        <w:t>. 酶解结束后加入</w:t>
      </w:r>
      <w:r>
        <w:rPr>
          <w:rFonts w:hint="eastAsia" w:ascii="Times New Roman" w:hAnsi="Times New Roman" w:eastAsia="微软雅黑" w:cs="Times New Roman"/>
          <w:color w:val="000000"/>
          <w:kern w:val="0"/>
          <w:sz w:val="21"/>
          <w:szCs w:val="21"/>
          <w:lang w:val="en-US" w:eastAsia="zh-CN" w:bidi="ar"/>
        </w:rPr>
        <w:t>3</w:t>
      </w:r>
      <w:r>
        <w:rPr>
          <w:rFonts w:hint="default" w:ascii="Times New Roman" w:hAnsi="Times New Roman" w:eastAsia="微软雅黑" w:cs="Times New Roman"/>
          <w:color w:val="000000"/>
          <w:kern w:val="0"/>
          <w:sz w:val="21"/>
          <w:szCs w:val="21"/>
          <w:lang w:bidi="ar"/>
        </w:rPr>
        <w:t xml:space="preserve"> μl试剂</w:t>
      </w:r>
      <w:r>
        <w:rPr>
          <w:rFonts w:hint="eastAsia" w:ascii="Times New Roman" w:hAnsi="Times New Roman" w:eastAsia="微软雅黑" w:cs="Times New Roman"/>
          <w:color w:val="000000"/>
          <w:kern w:val="0"/>
          <w:sz w:val="21"/>
          <w:szCs w:val="21"/>
          <w:lang w:val="en-US" w:eastAsia="zh-CN" w:bidi="ar"/>
        </w:rPr>
        <w:t>C</w:t>
      </w:r>
      <w:r>
        <w:rPr>
          <w:rFonts w:hint="default" w:ascii="Times New Roman" w:hAnsi="Times New Roman" w:eastAsia="微软雅黑" w:cs="Times New Roman"/>
          <w:color w:val="000000"/>
          <w:kern w:val="0"/>
          <w:sz w:val="21"/>
          <w:szCs w:val="21"/>
          <w:lang w:bidi="ar"/>
        </w:rPr>
        <w:t>，混匀，终止酶解反应，此时会有沉淀出现，20000g离心1min后吸取上清待后续脱盐。</w:t>
      </w:r>
    </w:p>
    <w:p w14:paraId="5FC3D235">
      <w:pPr>
        <w:spacing w:line="240" w:lineRule="auto"/>
        <w:rPr>
          <w:rFonts w:hint="default" w:ascii="Times New Roman" w:hAnsi="Times New Roman" w:eastAsia="微软雅黑" w:cs="Times New Roman"/>
          <w:b/>
          <w:bCs/>
          <w:sz w:val="21"/>
          <w:szCs w:val="21"/>
        </w:rPr>
      </w:pPr>
      <w:r>
        <w:rPr>
          <w:rFonts w:hint="default" w:ascii="Times New Roman" w:hAnsi="Times New Roman" w:eastAsia="微软雅黑" w:cs="Times New Roman"/>
          <w:b/>
          <w:bCs/>
          <w:sz w:val="21"/>
          <w:szCs w:val="21"/>
        </w:rPr>
        <w:t>5.</w:t>
      </w:r>
      <w:r>
        <w:rPr>
          <w:rFonts w:hint="default" w:ascii="Times New Roman" w:hAnsi="Times New Roman" w:eastAsia="微软雅黑" w:cs="Times New Roman"/>
          <w:b/>
          <w:bCs/>
          <w:sz w:val="21"/>
          <w:szCs w:val="21"/>
          <w:lang w:val="en-US" w:eastAsia="zh-CN"/>
        </w:rPr>
        <w:t>2</w:t>
      </w:r>
      <w:r>
        <w:rPr>
          <w:rFonts w:hint="default" w:ascii="Times New Roman" w:hAnsi="Times New Roman" w:eastAsia="微软雅黑" w:cs="Times New Roman"/>
          <w:b/>
          <w:bCs/>
          <w:sz w:val="21"/>
          <w:szCs w:val="21"/>
        </w:rPr>
        <w:t xml:space="preserve"> 肽段脱盐</w:t>
      </w:r>
    </w:p>
    <w:p w14:paraId="7E3E8110">
      <w:pPr>
        <w:keepNext w:val="0"/>
        <w:keepLines w:val="0"/>
        <w:pageBreakBefore w:val="0"/>
        <w:widowControl/>
        <w:numPr>
          <w:ilvl w:val="0"/>
          <w:numId w:val="3"/>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将Cartridge插入Adaptor上置于Waste板中；</w:t>
      </w:r>
    </w:p>
    <w:p w14:paraId="32BA2586">
      <w:pPr>
        <w:keepNext w:val="0"/>
        <w:keepLines w:val="0"/>
        <w:pageBreakBefore w:val="0"/>
        <w:widowControl/>
        <w:numPr>
          <w:ilvl w:val="0"/>
          <w:numId w:val="3"/>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Cartridge（脱盐柱）活化：</w:t>
      </w:r>
      <w:r>
        <w:rPr>
          <w:rFonts w:hint="eastAsia" w:ascii="Times New Roman" w:hAnsi="Times New Roman" w:eastAsia="微软雅黑" w:cs="Times New Roman"/>
          <w:color w:val="000000"/>
          <w:kern w:val="0"/>
          <w:sz w:val="21"/>
          <w:szCs w:val="21"/>
          <w:lang w:val="en-US" w:eastAsia="zh-CN" w:bidi="ar"/>
        </w:rPr>
        <w:t>10</w:t>
      </w:r>
      <w:r>
        <w:rPr>
          <w:rFonts w:hint="default" w:ascii="Times New Roman" w:hAnsi="Times New Roman" w:eastAsia="微软雅黑" w:cs="Times New Roman"/>
          <w:color w:val="000000"/>
          <w:kern w:val="0"/>
          <w:sz w:val="21"/>
          <w:szCs w:val="21"/>
          <w:lang w:val="en-US" w:eastAsia="zh-CN" w:bidi="ar"/>
        </w:rPr>
        <w:t>0μl甲醇加入到脱盐柱中，700g离心1min；</w:t>
      </w:r>
    </w:p>
    <w:p w14:paraId="6F3EBD03">
      <w:pPr>
        <w:keepNext w:val="0"/>
        <w:keepLines w:val="0"/>
        <w:pageBreakBefore w:val="0"/>
        <w:widowControl/>
        <w:numPr>
          <w:ilvl w:val="0"/>
          <w:numId w:val="3"/>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Cartridge（脱盐柱）去杂质：</w:t>
      </w:r>
      <w:r>
        <w:rPr>
          <w:rFonts w:hint="eastAsia" w:ascii="Times New Roman" w:hAnsi="Times New Roman" w:eastAsia="微软雅黑" w:cs="Times New Roman"/>
          <w:color w:val="000000"/>
          <w:kern w:val="0"/>
          <w:sz w:val="21"/>
          <w:szCs w:val="21"/>
          <w:lang w:val="en-US" w:eastAsia="zh-CN" w:bidi="ar"/>
        </w:rPr>
        <w:t>10</w:t>
      </w:r>
      <w:r>
        <w:rPr>
          <w:rFonts w:hint="default" w:ascii="Times New Roman" w:hAnsi="Times New Roman" w:eastAsia="微软雅黑" w:cs="Times New Roman"/>
          <w:color w:val="000000"/>
          <w:kern w:val="0"/>
          <w:sz w:val="21"/>
          <w:szCs w:val="21"/>
          <w:lang w:val="en-US" w:eastAsia="zh-CN" w:bidi="ar"/>
        </w:rPr>
        <w:t>0μl Condition buffer加入到脱盐柱中，700g离心1min；</w:t>
      </w:r>
    </w:p>
    <w:p w14:paraId="190ACCF6">
      <w:pPr>
        <w:keepNext w:val="0"/>
        <w:keepLines w:val="0"/>
        <w:pageBreakBefore w:val="0"/>
        <w:widowControl/>
        <w:numPr>
          <w:ilvl w:val="0"/>
          <w:numId w:val="3"/>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Cartridge（脱盐柱）平衡：</w:t>
      </w:r>
      <w:r>
        <w:rPr>
          <w:rFonts w:hint="eastAsia" w:ascii="Times New Roman" w:hAnsi="Times New Roman" w:eastAsia="微软雅黑" w:cs="Times New Roman"/>
          <w:color w:val="000000"/>
          <w:kern w:val="0"/>
          <w:sz w:val="21"/>
          <w:szCs w:val="21"/>
          <w:lang w:val="en-US" w:eastAsia="zh-CN" w:bidi="ar"/>
        </w:rPr>
        <w:t>10</w:t>
      </w:r>
      <w:r>
        <w:rPr>
          <w:rFonts w:hint="default" w:ascii="Times New Roman" w:hAnsi="Times New Roman" w:eastAsia="微软雅黑" w:cs="Times New Roman"/>
          <w:color w:val="000000"/>
          <w:kern w:val="0"/>
          <w:sz w:val="21"/>
          <w:szCs w:val="21"/>
          <w:lang w:val="en-US" w:eastAsia="zh-CN" w:bidi="ar"/>
        </w:rPr>
        <w:t>0μl Wash buffer加入到脱盐柱中，700g离心1min，弃掉Waste板中的废液后，重新将Adaptor置于Waste板上；</w:t>
      </w:r>
    </w:p>
    <w:p w14:paraId="01127FC5">
      <w:pPr>
        <w:keepNext w:val="0"/>
        <w:keepLines w:val="0"/>
        <w:pageBreakBefore w:val="0"/>
        <w:widowControl/>
        <w:numPr>
          <w:ilvl w:val="0"/>
          <w:numId w:val="3"/>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加载样本：将样本全部加载到脱盐柱中，700g离心1min，重复操作一次；</w:t>
      </w:r>
      <w:r>
        <w:rPr>
          <w:rFonts w:hint="default" w:ascii="Times New Roman" w:hAnsi="Times New Roman" w:eastAsia="微软雅黑" w:cs="Times New Roman"/>
          <w:color w:val="FF0000"/>
          <w:kern w:val="0"/>
          <w:sz w:val="21"/>
          <w:szCs w:val="21"/>
          <w:lang w:val="en-US" w:eastAsia="zh-CN" w:bidi="ar"/>
        </w:rPr>
        <w:t>（加样前测试样本的pH是否&lt; 3</w:t>
      </w:r>
      <w:r>
        <w:rPr>
          <w:rFonts w:hint="default" w:ascii="Times New Roman" w:hAnsi="Times New Roman" w:eastAsia="微软雅黑" w:cs="Times New Roman"/>
          <w:b w:val="0"/>
          <w:bCs w:val="0"/>
          <w:color w:val="FF0000"/>
          <w:kern w:val="0"/>
          <w:sz w:val="21"/>
          <w:szCs w:val="21"/>
          <w:lang w:val="en-US" w:eastAsia="zh-CN" w:bidi="ar"/>
        </w:rPr>
        <w:t>，使用20%TFA调pH＜3后加载样本</w:t>
      </w:r>
      <w:r>
        <w:rPr>
          <w:rFonts w:hint="default" w:ascii="Times New Roman" w:hAnsi="Times New Roman" w:eastAsia="微软雅黑" w:cs="Times New Roman"/>
          <w:color w:val="FF0000"/>
          <w:kern w:val="0"/>
          <w:sz w:val="21"/>
          <w:szCs w:val="21"/>
          <w:lang w:val="en-US" w:eastAsia="zh-CN" w:bidi="ar"/>
        </w:rPr>
        <w:t>）</w:t>
      </w:r>
    </w:p>
    <w:p w14:paraId="174EEB99">
      <w:pPr>
        <w:keepNext w:val="0"/>
        <w:keepLines w:val="0"/>
        <w:pageBreakBefore w:val="0"/>
        <w:widowControl/>
        <w:numPr>
          <w:ilvl w:val="0"/>
          <w:numId w:val="3"/>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Cartridge（脱盐柱）清洗：</w:t>
      </w:r>
      <w:r>
        <w:rPr>
          <w:rFonts w:hint="eastAsia" w:ascii="Times New Roman" w:hAnsi="Times New Roman" w:eastAsia="微软雅黑" w:cs="Times New Roman"/>
          <w:color w:val="000000"/>
          <w:kern w:val="0"/>
          <w:sz w:val="21"/>
          <w:szCs w:val="21"/>
          <w:lang w:val="en-US" w:eastAsia="zh-CN" w:bidi="ar"/>
        </w:rPr>
        <w:t>10</w:t>
      </w:r>
      <w:r>
        <w:rPr>
          <w:rFonts w:hint="default" w:ascii="Times New Roman" w:hAnsi="Times New Roman" w:eastAsia="微软雅黑" w:cs="Times New Roman"/>
          <w:color w:val="000000"/>
          <w:kern w:val="0"/>
          <w:sz w:val="21"/>
          <w:szCs w:val="21"/>
          <w:lang w:val="en-US" w:eastAsia="zh-CN" w:bidi="ar"/>
        </w:rPr>
        <w:t>0μl Wash buffer加入到脱盐柱中，700g离心1min，重复操作一次；</w:t>
      </w:r>
    </w:p>
    <w:p w14:paraId="294FF242">
      <w:pPr>
        <w:keepNext w:val="0"/>
        <w:keepLines w:val="0"/>
        <w:pageBreakBefore w:val="0"/>
        <w:widowControl/>
        <w:numPr>
          <w:ilvl w:val="0"/>
          <w:numId w:val="3"/>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将放有Cartridge的Adaptor转移至新的Collection板上；</w:t>
      </w:r>
    </w:p>
    <w:p w14:paraId="2DFF3BDF">
      <w:pPr>
        <w:keepNext w:val="0"/>
        <w:keepLines w:val="0"/>
        <w:pageBreakBefore w:val="0"/>
        <w:widowControl/>
        <w:numPr>
          <w:ilvl w:val="0"/>
          <w:numId w:val="3"/>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样本洗脱：</w:t>
      </w:r>
      <w:r>
        <w:rPr>
          <w:rFonts w:hint="eastAsia" w:ascii="Times New Roman" w:hAnsi="Times New Roman" w:eastAsia="微软雅黑" w:cs="Times New Roman"/>
          <w:color w:val="000000"/>
          <w:kern w:val="0"/>
          <w:sz w:val="21"/>
          <w:szCs w:val="21"/>
          <w:lang w:val="en-US" w:eastAsia="zh-CN" w:bidi="ar"/>
        </w:rPr>
        <w:t>5</w:t>
      </w:r>
      <w:r>
        <w:rPr>
          <w:rFonts w:hint="default" w:ascii="Times New Roman" w:hAnsi="Times New Roman" w:eastAsia="微软雅黑" w:cs="Times New Roman"/>
          <w:color w:val="000000"/>
          <w:kern w:val="0"/>
          <w:sz w:val="21"/>
          <w:szCs w:val="21"/>
          <w:lang w:val="en-US" w:eastAsia="zh-CN" w:bidi="ar"/>
        </w:rPr>
        <w:t>0μl Elution buffer加入到脱盐柱中，700g离心1min，洗脱两次，最终样本体积</w:t>
      </w:r>
      <w:r>
        <w:rPr>
          <w:rFonts w:hint="eastAsia" w:ascii="Times New Roman" w:hAnsi="Times New Roman" w:eastAsia="微软雅黑" w:cs="Times New Roman"/>
          <w:color w:val="000000"/>
          <w:kern w:val="0"/>
          <w:sz w:val="21"/>
          <w:szCs w:val="21"/>
          <w:lang w:val="en-US" w:eastAsia="zh-CN" w:bidi="ar"/>
        </w:rPr>
        <w:t>约</w:t>
      </w:r>
      <w:r>
        <w:rPr>
          <w:rFonts w:hint="default" w:ascii="Times New Roman" w:hAnsi="Times New Roman" w:eastAsia="微软雅黑" w:cs="Times New Roman"/>
          <w:color w:val="000000"/>
          <w:kern w:val="0"/>
          <w:sz w:val="21"/>
          <w:szCs w:val="21"/>
          <w:lang w:val="en-US" w:eastAsia="zh-CN" w:bidi="ar"/>
        </w:rPr>
        <w:t>为</w:t>
      </w:r>
      <w:r>
        <w:rPr>
          <w:rFonts w:hint="eastAsia" w:ascii="Times New Roman" w:hAnsi="Times New Roman" w:eastAsia="微软雅黑" w:cs="Times New Roman"/>
          <w:color w:val="000000"/>
          <w:kern w:val="0"/>
          <w:sz w:val="21"/>
          <w:szCs w:val="21"/>
          <w:lang w:val="en-US" w:eastAsia="zh-CN" w:bidi="ar"/>
        </w:rPr>
        <w:t>10</w:t>
      </w:r>
      <w:r>
        <w:rPr>
          <w:rFonts w:hint="default" w:ascii="Times New Roman" w:hAnsi="Times New Roman" w:eastAsia="微软雅黑" w:cs="Times New Roman"/>
          <w:color w:val="000000"/>
          <w:kern w:val="0"/>
          <w:sz w:val="21"/>
          <w:szCs w:val="21"/>
          <w:lang w:val="en-US" w:eastAsia="zh-CN" w:bidi="ar"/>
        </w:rPr>
        <w:t>0μl；</w:t>
      </w:r>
    </w:p>
    <w:p w14:paraId="3CAF73A4">
      <w:pPr>
        <w:keepNext w:val="0"/>
        <w:keepLines w:val="0"/>
        <w:pageBreakBefore w:val="0"/>
        <w:widowControl/>
        <w:numPr>
          <w:ilvl w:val="0"/>
          <w:numId w:val="3"/>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ascii="Times New Roman" w:hAnsi="Times New Roman" w:eastAsia="微软雅黑" w:cs="Times New Roman"/>
          <w:b/>
          <w:bCs/>
          <w:sz w:val="21"/>
          <w:szCs w:val="21"/>
        </w:rPr>
      </w:pPr>
      <w:r>
        <w:rPr>
          <w:rFonts w:hint="default" w:ascii="Times New Roman" w:hAnsi="Times New Roman" w:eastAsia="微软雅黑" w:cs="Times New Roman"/>
          <w:b w:val="0"/>
          <w:bCs w:val="0"/>
          <w:color w:val="000000"/>
          <w:kern w:val="0"/>
          <w:sz w:val="21"/>
          <w:szCs w:val="21"/>
          <w:lang w:val="en-US" w:eastAsia="zh-CN" w:bidi="ar"/>
        </w:rPr>
        <w:t>真空冷冻离心浓缩仪浓缩样本。</w:t>
      </w:r>
    </w:p>
    <w:p w14:paraId="51A45E70">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6. 注意事项</w:t>
      </w:r>
    </w:p>
    <w:p w14:paraId="369713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hint="eastAsia" w:ascii="Times New Roman" w:hAnsi="Times New Roman" w:eastAsia="微软雅黑" w:cs="Times New Roman"/>
          <w:color w:val="000000"/>
          <w:kern w:val="0"/>
          <w:sz w:val="18"/>
          <w:szCs w:val="18"/>
          <w:lang w:val="en-US" w:eastAsia="zh-CN" w:bidi="ar"/>
        </w:rPr>
        <w:t>细胞量建议不超过1E4个，过载会导致还原烷基化以及酶切不充分，影响鉴定结果；</w:t>
      </w:r>
    </w:p>
    <w:p w14:paraId="466224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hint="eastAsia" w:ascii="Times New Roman" w:hAnsi="Times New Roman" w:eastAsia="微软雅黑" w:cs="Times New Roman"/>
          <w:color w:val="000000"/>
          <w:kern w:val="0"/>
          <w:sz w:val="18"/>
          <w:szCs w:val="18"/>
          <w:lang w:val="en-US" w:eastAsia="zh-CN" w:bidi="ar"/>
        </w:rPr>
        <w:t>试剂A低温下会析出，建议使用前置于水浴锅中（56</w:t>
      </w:r>
      <w:r>
        <w:rPr>
          <w:rFonts w:hint="default" w:ascii="Times New Roman" w:hAnsi="Times New Roman" w:eastAsia="微软雅黑" w:cs="Times New Roman"/>
          <w:color w:val="000000"/>
          <w:kern w:val="0"/>
          <w:sz w:val="18"/>
          <w:szCs w:val="18"/>
          <w:lang w:val="en-US" w:eastAsia="zh-CN" w:bidi="ar"/>
        </w:rPr>
        <w:t>℃</w:t>
      </w:r>
      <w:r>
        <w:rPr>
          <w:rFonts w:hint="eastAsia" w:ascii="Times New Roman" w:hAnsi="Times New Roman" w:eastAsia="微软雅黑" w:cs="Times New Roman"/>
          <w:color w:val="000000"/>
          <w:kern w:val="0"/>
          <w:sz w:val="18"/>
          <w:szCs w:val="18"/>
          <w:lang w:val="en-US" w:eastAsia="zh-CN" w:bidi="ar"/>
        </w:rPr>
        <w:t>）放置10min，待结晶重新溶解后混合均匀使用；</w:t>
      </w:r>
    </w:p>
    <w:p w14:paraId="5135CE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肽段脱盐过程离心速度不要超过推荐的离心速度（最大离心速度不要超过1000g），因为这可能会损坏柱子填料导致样品丢失和/或损坏仪器；</w:t>
      </w:r>
    </w:p>
    <w:p w14:paraId="79C2FC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使用低吸附离心管，最大限度的提高样本回收率；</w:t>
      </w:r>
    </w:p>
    <w:p w14:paraId="43EC1C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酶解结束后加入试剂</w:t>
      </w:r>
      <w:r>
        <w:rPr>
          <w:rFonts w:hint="eastAsia" w:ascii="Times New Roman" w:hAnsi="Times New Roman" w:eastAsia="微软雅黑" w:cs="Times New Roman"/>
          <w:color w:val="000000"/>
          <w:kern w:val="0"/>
          <w:sz w:val="18"/>
          <w:szCs w:val="18"/>
          <w:lang w:val="en-US" w:eastAsia="zh-CN" w:bidi="ar"/>
        </w:rPr>
        <w:t>C</w:t>
      </w:r>
      <w:r>
        <w:rPr>
          <w:rFonts w:ascii="Times New Roman" w:hAnsi="Times New Roman" w:eastAsia="微软雅黑" w:cs="Times New Roman"/>
          <w:color w:val="000000"/>
          <w:kern w:val="0"/>
          <w:sz w:val="18"/>
          <w:szCs w:val="18"/>
          <w:lang w:bidi="ar"/>
        </w:rPr>
        <w:t>有大量沉淀出现属于正常情况，高速离心后即可进行后续实验；</w:t>
      </w:r>
    </w:p>
    <w:p w14:paraId="2E851D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样本比较难消化酶解时可适当加长酶解时间；</w:t>
      </w:r>
    </w:p>
    <w:p w14:paraId="6879EA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酶解后样本如</w:t>
      </w:r>
      <w:r>
        <w:rPr>
          <w:rFonts w:hint="eastAsia" w:ascii="Times New Roman" w:hAnsi="Times New Roman" w:eastAsia="微软雅黑" w:cs="Times New Roman"/>
          <w:color w:val="000000"/>
          <w:kern w:val="0"/>
          <w:sz w:val="18"/>
          <w:szCs w:val="18"/>
          <w:lang w:bidi="ar"/>
        </w:rPr>
        <w:t>不能及时进行</w:t>
      </w:r>
      <w:r>
        <w:rPr>
          <w:rFonts w:ascii="Times New Roman" w:hAnsi="Times New Roman" w:eastAsia="微软雅黑" w:cs="Times New Roman"/>
          <w:color w:val="000000"/>
          <w:kern w:val="0"/>
          <w:sz w:val="18"/>
          <w:szCs w:val="18"/>
          <w:lang w:bidi="ar"/>
        </w:rPr>
        <w:t>后续脱盐处理，可-80℃存放2周；</w:t>
      </w:r>
    </w:p>
    <w:p w14:paraId="55CE88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hint="default" w:ascii="Times New Roman" w:hAnsi="Times New Roman" w:eastAsia="微软雅黑" w:cs="Times New Roman"/>
          <w:color w:val="000000"/>
          <w:kern w:val="0"/>
          <w:sz w:val="18"/>
          <w:szCs w:val="18"/>
          <w:lang w:val="en-US" w:eastAsia="zh-CN" w:bidi="ar"/>
        </w:rPr>
      </w:pPr>
      <w:r>
        <w:rPr>
          <w:rFonts w:ascii="Times New Roman" w:hAnsi="Times New Roman" w:eastAsia="微软雅黑" w:cs="Times New Roman"/>
          <w:color w:val="000000"/>
          <w:kern w:val="0"/>
          <w:sz w:val="18"/>
          <w:szCs w:val="18"/>
          <w:lang w:bidi="ar"/>
        </w:rPr>
        <w:t>避免样品污染及皮肤直接接触试剂，实验时戴好手套、口罩。</w:t>
      </w:r>
    </w:p>
    <w:p w14:paraId="2B7297C0">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auto"/>
        <w:rPr>
          <w:rFonts w:ascii="Times New Roman" w:hAnsi="Times New Roman" w:eastAsia="微软雅黑" w:cs="Times New Roman"/>
          <w:color w:val="000000"/>
          <w:kern w:val="0"/>
          <w:sz w:val="18"/>
          <w:szCs w:val="18"/>
          <w:lang w:bidi="ar"/>
        </w:rPr>
      </w:pPr>
    </w:p>
    <w:p w14:paraId="56CB1025">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auto"/>
        <w:rPr>
          <w:rFonts w:hint="default" w:ascii="Times New Roman" w:hAnsi="Times New Roman" w:eastAsia="微软雅黑" w:cs="Times New Roman"/>
          <w:color w:val="000000"/>
          <w:kern w:val="0"/>
          <w:sz w:val="18"/>
          <w:szCs w:val="18"/>
          <w:lang w:val="en-US" w:eastAsia="zh-CN" w:bidi="ar"/>
        </w:rPr>
      </w:pPr>
    </w:p>
    <w:p w14:paraId="0EB0C3F3">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left"/>
        <w:textAlignment w:val="auto"/>
        <w:rPr>
          <w:rFonts w:ascii="Times New Roman" w:hAnsi="Times New Roman" w:eastAsia="微软雅黑" w:cs="Times New Roman"/>
          <w:color w:val="000000"/>
          <w:kern w:val="0"/>
          <w:sz w:val="18"/>
          <w:szCs w:val="18"/>
          <w:lang w:bidi="ar"/>
        </w:rPr>
      </w:pP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071"/>
        <w:gridCol w:w="2451"/>
      </w:tblGrid>
      <w:tr w14:paraId="7DF44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6071" w:type="dxa"/>
            <w:noWrap w:val="0"/>
            <w:vAlign w:val="top"/>
          </w:tcPr>
          <w:p w14:paraId="69D320DF">
            <w:pPr>
              <w:keepNext w:val="0"/>
              <w:keepLines w:val="0"/>
              <w:pageBreakBefore w:val="0"/>
              <w:widowControl/>
              <w:numPr>
                <w:ilvl w:val="0"/>
                <w:numId w:val="0"/>
              </w:numPr>
              <w:kinsoku/>
              <w:wordWrap/>
              <w:overflowPunct/>
              <w:topLinePunct w:val="0"/>
              <w:autoSpaceDE/>
              <w:autoSpaceDN/>
              <w:bidi w:val="0"/>
              <w:adjustRightInd/>
              <w:snapToGrid/>
              <w:spacing w:line="360" w:lineRule="auto"/>
              <w:jc w:val="right"/>
              <w:textAlignment w:val="auto"/>
              <w:rPr>
                <w:rFonts w:hint="default"/>
                <w:sz w:val="18"/>
                <w:szCs w:val="18"/>
                <w:vertAlign w:val="baseline"/>
                <w:lang w:val="en-US" w:eastAsia="zh-CN"/>
              </w:rPr>
            </w:pPr>
            <w:r>
              <w:rPr>
                <w:rFonts w:hint="default"/>
                <w:sz w:val="18"/>
                <w:szCs w:val="18"/>
                <w:vertAlign w:val="baseline"/>
                <w:lang w:val="en-US" w:eastAsia="zh-CN"/>
              </w:rPr>
              <w:drawing>
                <wp:inline distT="0" distB="0" distL="114300" distR="114300">
                  <wp:extent cx="666115" cy="666115"/>
                  <wp:effectExtent l="0" t="0" r="635" b="635"/>
                  <wp:docPr id="6" name="图片 7" desc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 descr="code"/>
                          <pic:cNvPicPr>
                            <a:picLocks noChangeAspect="1"/>
                          </pic:cNvPicPr>
                        </pic:nvPicPr>
                        <pic:blipFill>
                          <a:blip r:embed="rId11"/>
                          <a:stretch>
                            <a:fillRect/>
                          </a:stretch>
                        </pic:blipFill>
                        <pic:spPr>
                          <a:xfrm>
                            <a:off x="0" y="0"/>
                            <a:ext cx="666115" cy="666115"/>
                          </a:xfrm>
                          <a:prstGeom prst="rect">
                            <a:avLst/>
                          </a:prstGeom>
                          <a:noFill/>
                          <a:ln>
                            <a:noFill/>
                          </a:ln>
                        </pic:spPr>
                      </pic:pic>
                    </a:graphicData>
                  </a:graphic>
                </wp:inline>
              </w:drawing>
            </w:r>
          </w:p>
        </w:tc>
        <w:tc>
          <w:tcPr>
            <w:tcW w:w="2451" w:type="dxa"/>
            <w:noWrap w:val="0"/>
            <w:vAlign w:val="center"/>
          </w:tcPr>
          <w:p w14:paraId="5220306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官方网站：</w:t>
            </w:r>
            <w:r>
              <w:rPr>
                <w:rStyle w:val="8"/>
                <w:rFonts w:hint="default" w:ascii="Times New Roman" w:hAnsi="Times New Roman" w:eastAsia="微软雅黑" w:cs="Times New Roman"/>
                <w:kern w:val="0"/>
                <w:sz w:val="15"/>
                <w:szCs w:val="15"/>
                <w:lang w:val="en-US" w:eastAsia="zh-CN" w:bidi="ar"/>
              </w:rPr>
              <w:t>www.omicsolution.com</w:t>
            </w:r>
          </w:p>
          <w:p w14:paraId="2F78EB1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若有任何疑问，欢迎</w:t>
            </w:r>
            <w:r>
              <w:rPr>
                <w:rFonts w:hint="eastAsia" w:ascii="Times New Roman" w:hAnsi="Times New Roman" w:eastAsia="微软雅黑" w:cs="Times New Roman"/>
                <w:color w:val="415163"/>
                <w:sz w:val="15"/>
                <w:szCs w:val="15"/>
                <w:lang w:val="en-US" w:eastAsia="zh-CN"/>
              </w:rPr>
              <w:t>发送</w:t>
            </w:r>
            <w:r>
              <w:rPr>
                <w:rFonts w:hint="default" w:ascii="Times New Roman" w:hAnsi="Times New Roman" w:eastAsia="微软雅黑" w:cs="Times New Roman"/>
                <w:color w:val="415163"/>
                <w:sz w:val="15"/>
                <w:szCs w:val="15"/>
              </w:rPr>
              <w:t>邮件</w:t>
            </w:r>
            <w:r>
              <w:rPr>
                <w:rFonts w:hint="eastAsia" w:ascii="Times New Roman" w:hAnsi="Times New Roman" w:eastAsia="微软雅黑" w:cs="Times New Roman"/>
                <w:color w:val="415163"/>
                <w:sz w:val="15"/>
                <w:szCs w:val="15"/>
                <w:lang w:val="en-US" w:eastAsia="zh-CN"/>
              </w:rPr>
              <w:t>至</w:t>
            </w:r>
            <w:r>
              <w:rPr>
                <w:rFonts w:hint="default" w:ascii="Times New Roman" w:hAnsi="Times New Roman" w:eastAsia="微软雅黑" w:cs="Times New Roman"/>
                <w:color w:val="415163"/>
                <w:sz w:val="15"/>
                <w:szCs w:val="15"/>
              </w:rPr>
              <w:t>：</w:t>
            </w:r>
          </w:p>
          <w:p w14:paraId="1781B88F">
            <w:pPr>
              <w:keepNext w:val="0"/>
              <w:keepLines w:val="0"/>
              <w:widowControl/>
              <w:suppressLineNumbers w:val="0"/>
              <w:spacing w:line="240" w:lineRule="auto"/>
              <w:jc w:val="left"/>
              <w:rPr>
                <w:rFonts w:hint="default" w:ascii="Times New Roman" w:hAnsi="Times New Roman" w:eastAsia="微软雅黑" w:cs="Times New Roman"/>
                <w:sz w:val="15"/>
                <w:szCs w:val="15"/>
                <w:vertAlign w:val="baseline"/>
                <w:lang w:val="en-US" w:eastAsia="zh-CN"/>
              </w:rPr>
            </w:pPr>
            <w:r>
              <w:rPr>
                <w:rStyle w:val="8"/>
                <w:rFonts w:hint="default" w:ascii="Times New Roman" w:hAnsi="Times New Roman" w:eastAsia="微软雅黑" w:cs="Times New Roman"/>
                <w:kern w:val="0"/>
                <w:sz w:val="15"/>
                <w:szCs w:val="15"/>
                <w:lang w:val="en-US" w:eastAsia="zh-CN" w:bidi="ar"/>
              </w:rPr>
              <w:t>support@omicsolution.com</w:t>
            </w:r>
          </w:p>
        </w:tc>
      </w:tr>
    </w:tbl>
    <w:p w14:paraId="4F8F7592">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left"/>
        <w:textAlignment w:val="auto"/>
        <w:rPr>
          <w:rFonts w:hint="default" w:ascii="Times New Roman" w:hAnsi="Times New Roman" w:eastAsia="微软雅黑" w:cs="Times New Roman"/>
          <w:color w:val="000000"/>
          <w:kern w:val="0"/>
          <w:sz w:val="18"/>
          <w:szCs w:val="18"/>
          <w:lang w:val="en-US" w:eastAsia="zh-CN" w:bidi="ar"/>
        </w:rPr>
      </w:pPr>
    </w:p>
    <w:sectPr>
      <w:headerReference r:id="rId3" w:type="default"/>
      <w:footerReference r:id="rId4" w:type="default"/>
      <w:pgSz w:w="11906" w:h="16838"/>
      <w:pgMar w:top="1440" w:right="1800" w:bottom="1440" w:left="1800" w:header="851" w:footer="907"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2A2833">
    <w:pPr>
      <w:pStyle w:val="2"/>
      <w:rPr>
        <w:rFonts w:hint="eastAsia"/>
        <w:lang w:eastAsia="zh-CN"/>
      </w:rPr>
    </w:pPr>
    <w:r>
      <w:rPr>
        <w:rFonts w:hint="eastAsia" w:ascii="微软雅黑" w:hAnsi="微软雅黑" w:eastAsia="微软雅黑" w:cs="微软雅黑"/>
        <w:sz w:val="24"/>
        <w:szCs w:val="24"/>
      </w:rPr>
      <mc:AlternateContent>
        <mc:Choice Requires="wps">
          <w:drawing>
            <wp:anchor distT="0" distB="0" distL="114300" distR="114300" simplePos="0" relativeHeight="251662336" behindDoc="0" locked="0" layoutInCell="1" allowOverlap="1">
              <wp:simplePos x="0" y="0"/>
              <wp:positionH relativeFrom="margin">
                <wp:posOffset>2595245</wp:posOffset>
              </wp:positionH>
              <wp:positionV relativeFrom="paragraph">
                <wp:posOffset>99060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2BD033E">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4.35pt;margin-top:7.8pt;height:144pt;width:144pt;mso-position-horizontal-relative:margin;mso-wrap-style:none;z-index:251662336;mso-width-relative:page;mso-height-relative:page;" filled="f" stroked="f" coordsize="21600,21600" o:gfxdata="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BoPKC1wAAAAoBAAAPAAAAAAAAAAEAIAAAACIAAABkcnMvZG93bnJl&#10;di54bWxQSwECFAAUAAAACACHTuJAe3NDNTcCAABxBAAADgAAAAAAAAABACAAAAAmAQAAZHJzL2Uy&#10;b0RvYy54bWxQSwUGAAAAAAYABgBZAQAAzwUAAAAA&#10;">
              <v:fill on="f" focussize="0,0"/>
              <v:stroke on="f" weight="0.5pt"/>
              <v:imagedata o:title=""/>
              <o:lock v:ext="edit" aspectratio="f"/>
              <v:textbox inset="0mm,0mm,0mm,0mm" style="mso-fit-shape-to-text:t;">
                <w:txbxContent>
                  <w:p w14:paraId="22BD033E">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r>
      <w:rPr>
        <w:rFonts w:hint="eastAsia" w:ascii="微软雅黑" w:hAnsi="微软雅黑" w:eastAsia="微软雅黑" w:cs="微软雅黑"/>
        <w:sz w:val="24"/>
        <w:szCs w:val="24"/>
      </w:rPr>
      <w:drawing>
        <wp:anchor distT="0" distB="0" distL="114300" distR="114300" simplePos="0" relativeHeight="251660288" behindDoc="1" locked="0" layoutInCell="1" allowOverlap="1">
          <wp:simplePos x="0" y="0"/>
          <wp:positionH relativeFrom="page">
            <wp:align>center</wp:align>
          </wp:positionH>
          <wp:positionV relativeFrom="page">
            <wp:align>bottom</wp:align>
          </wp:positionV>
          <wp:extent cx="7559675" cy="1357630"/>
          <wp:effectExtent l="0" t="0" r="3175" b="13970"/>
          <wp:wrapNone/>
          <wp:docPr id="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9"/>
                  <pic:cNvPicPr>
                    <a:picLocks noChangeAspect="1"/>
                  </pic:cNvPicPr>
                </pic:nvPicPr>
                <pic:blipFill>
                  <a:blip r:embed="rId1"/>
                  <a:stretch>
                    <a:fillRect/>
                  </a:stretch>
                </pic:blipFill>
                <pic:spPr>
                  <a:xfrm flipH="1" flipV="1">
                    <a:off x="0" y="0"/>
                    <a:ext cx="7559675" cy="1357630"/>
                  </a:xfrm>
                  <a:prstGeom prst="rect">
                    <a:avLst/>
                  </a:prstGeom>
                  <a:noFill/>
                  <a:ln>
                    <a:noFill/>
                  </a:ln>
                </pic:spPr>
              </pic:pic>
            </a:graphicData>
          </a:graphic>
          <wp14:sizeRelH relativeFrom="page">
            <wp14:pctWidth>100000</wp14:pctWidth>
          </wp14:sizeRelH>
          <wp14:sizeRelV relativeFrom="page">
            <wp14:pctHeight>0</wp14:pctHeight>
          </wp14:sizeRelV>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E5E05C">
    <w:pPr>
      <w:pStyle w:val="3"/>
    </w:pPr>
    <w:r>
      <w:drawing>
        <wp:anchor distT="0" distB="0" distL="114300" distR="114300" simplePos="0" relativeHeight="251659264" behindDoc="1" locked="0" layoutInCell="1" allowOverlap="1">
          <wp:simplePos x="0" y="0"/>
          <wp:positionH relativeFrom="page">
            <wp:posOffset>6350</wp:posOffset>
          </wp:positionH>
          <wp:positionV relativeFrom="page">
            <wp:posOffset>-6350</wp:posOffset>
          </wp:positionV>
          <wp:extent cx="7559675" cy="1357630"/>
          <wp:effectExtent l="0" t="0" r="3175" b="13970"/>
          <wp:wrapNone/>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
                  <a:stretch>
                    <a:fillRect/>
                  </a:stretch>
                </pic:blipFill>
                <pic:spPr>
                  <a:xfrm>
                    <a:off x="0" y="0"/>
                    <a:ext cx="7559675" cy="1357630"/>
                  </a:xfrm>
                  <a:prstGeom prst="rect">
                    <a:avLst/>
                  </a:prstGeom>
                  <a:noFill/>
                  <a:ln>
                    <a:noFill/>
                  </a:ln>
                </pic:spPr>
              </pic:pic>
            </a:graphicData>
          </a:graphic>
          <wp14:sizeRelH relativeFrom="page">
            <wp14:pctWidth>100000</wp14:pctWidth>
          </wp14:sizeRelH>
          <wp14:sizeRelV relativeFrom="page">
            <wp14:pctHeight>0</wp14:pctHeight>
          </wp14:sizeRelV>
        </wp:anchor>
      </w:drawing>
    </w:r>
    <w:r>
      <w:rPr>
        <w:sz w:val="18"/>
      </w:rPr>
      <w:drawing>
        <wp:anchor distT="0" distB="0" distL="114300" distR="114300" simplePos="0" relativeHeight="251661312" behindDoc="1" locked="0" layoutInCell="1" allowOverlap="1">
          <wp:simplePos x="0" y="0"/>
          <wp:positionH relativeFrom="margin">
            <wp:align>center</wp:align>
          </wp:positionH>
          <wp:positionV relativeFrom="margin">
            <wp:align>center</wp:align>
          </wp:positionV>
          <wp:extent cx="5274310" cy="911860"/>
          <wp:effectExtent l="1503045" t="0" r="1547495" b="0"/>
          <wp:wrapNone/>
          <wp:docPr id="9" name="WordPictureWatermark3966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39663" descr="logo"/>
                  <pic:cNvPicPr>
                    <a:picLocks noChangeAspect="1"/>
                  </pic:cNvPicPr>
                </pic:nvPicPr>
                <pic:blipFill>
                  <a:blip r:embed="rId2">
                    <a:lum bright="69998" contrast="-70001"/>
                  </a:blip>
                  <a:stretch>
                    <a:fillRect/>
                  </a:stretch>
                </pic:blipFill>
                <pic:spPr>
                  <a:xfrm rot="-2700000">
                    <a:off x="0" y="0"/>
                    <a:ext cx="5274310" cy="91186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0C61D9"/>
    <w:multiLevelType w:val="singleLevel"/>
    <w:tmpl w:val="970C61D9"/>
    <w:lvl w:ilvl="0" w:tentative="0">
      <w:start w:val="1"/>
      <w:numFmt w:val="bullet"/>
      <w:lvlText w:val=""/>
      <w:lvlJc w:val="left"/>
      <w:pPr>
        <w:ind w:left="420" w:hanging="420"/>
      </w:pPr>
      <w:rPr>
        <w:rFonts w:hint="default" w:ascii="Wingdings" w:hAnsi="Wingdings"/>
      </w:rPr>
    </w:lvl>
  </w:abstractNum>
  <w:abstractNum w:abstractNumId="1">
    <w:nsid w:val="CE045B9A"/>
    <w:multiLevelType w:val="singleLevel"/>
    <w:tmpl w:val="CE045B9A"/>
    <w:lvl w:ilvl="0" w:tentative="0">
      <w:start w:val="1"/>
      <w:numFmt w:val="bullet"/>
      <w:lvlText w:val=""/>
      <w:lvlJc w:val="left"/>
      <w:pPr>
        <w:ind w:left="420" w:hanging="420"/>
      </w:pPr>
      <w:rPr>
        <w:rFonts w:hint="default" w:ascii="Wingdings" w:hAnsi="Wingdings"/>
      </w:rPr>
    </w:lvl>
  </w:abstractNum>
  <w:abstractNum w:abstractNumId="2">
    <w:nsid w:val="D0856594"/>
    <w:multiLevelType w:val="singleLevel"/>
    <w:tmpl w:val="D0856594"/>
    <w:lvl w:ilvl="0" w:tentative="0">
      <w:start w:val="1"/>
      <w:numFmt w:val="lowerLetter"/>
      <w:lvlText w:val="%1."/>
      <w:lvlJc w:val="left"/>
      <w:pPr>
        <w:ind w:left="425" w:hanging="425"/>
      </w:pPr>
      <w:rPr>
        <w:rFonts w:hint="default"/>
      </w:rPr>
    </w:lvl>
  </w:abstractNum>
  <w:abstractNum w:abstractNumId="3">
    <w:nsid w:val="4EB15633"/>
    <w:multiLevelType w:val="singleLevel"/>
    <w:tmpl w:val="4EB15633"/>
    <w:lvl w:ilvl="0" w:tentative="0">
      <w:start w:val="1"/>
      <w:numFmt w:val="decimal"/>
      <w:suff w:val="space"/>
      <w:lvlText w:val="%1."/>
      <w:lvlJc w:val="left"/>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4YWE2NWM2NjkyMzUxOGRkNDNkNjJlMmYxYjJlZDkifQ=="/>
  </w:docVars>
  <w:rsids>
    <w:rsidRoot w:val="00000000"/>
    <w:rsid w:val="09A175F8"/>
    <w:rsid w:val="13AC0DFB"/>
    <w:rsid w:val="175003BD"/>
    <w:rsid w:val="19AA66B3"/>
    <w:rsid w:val="1BAF4D2D"/>
    <w:rsid w:val="1D2737FF"/>
    <w:rsid w:val="1EFC5E1C"/>
    <w:rsid w:val="239D478B"/>
    <w:rsid w:val="2D6F57F1"/>
    <w:rsid w:val="2FFA371C"/>
    <w:rsid w:val="344F3FA7"/>
    <w:rsid w:val="37052D23"/>
    <w:rsid w:val="38045671"/>
    <w:rsid w:val="3A775CE5"/>
    <w:rsid w:val="3D2C6E4B"/>
    <w:rsid w:val="3EFE5670"/>
    <w:rsid w:val="3F8F6DDC"/>
    <w:rsid w:val="41412BA9"/>
    <w:rsid w:val="42F655C2"/>
    <w:rsid w:val="44953581"/>
    <w:rsid w:val="4C4C4558"/>
    <w:rsid w:val="4C886703"/>
    <w:rsid w:val="4DCE2342"/>
    <w:rsid w:val="4F8C1EF2"/>
    <w:rsid w:val="525723CF"/>
    <w:rsid w:val="52A5300F"/>
    <w:rsid w:val="5BBA2D6F"/>
    <w:rsid w:val="5EE7269B"/>
    <w:rsid w:val="60A74B67"/>
    <w:rsid w:val="63F70CE7"/>
    <w:rsid w:val="66EE57DC"/>
    <w:rsid w:val="682B0547"/>
    <w:rsid w:val="6B55614A"/>
    <w:rsid w:val="7AF516A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uiPriority w:val="0"/>
    <w:tblPr>
      <w:tblStyle w:val="5"/>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Style w:val="5"/>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8.jpeg"/><Relationship Id="rId10" Type="http://schemas.openxmlformats.org/officeDocument/2006/relationships/image" Target="media/image7.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1513</Words>
  <Characters>2386</Characters>
  <Lines>0</Lines>
  <Paragraphs>0</Paragraphs>
  <TotalTime>0</TotalTime>
  <ScaleCrop>false</ScaleCrop>
  <LinksUpToDate>false</LinksUpToDate>
  <CharactersWithSpaces>2502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2022-03-28T04:49:00Z</dcterms:created>
  <dc:creator>omicsolution</dc:creator>
  <cp:lastModifiedBy>shygza</cp:lastModifiedBy>
  <dcterms:modified xsi:type="dcterms:W3CDTF">2026-06-11T06:43:20Z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F95BCAAAB96E45A9B03EFC9E9AF28478_13</vt:lpwstr>
  </property>
  <property fmtid="{D5CDD505-2E9C-101B-9397-08002B2CF9AE}" pid="4" name="KSOTemplateDocerSaveRecord">
    <vt:lpwstr>eyJoZGlkIjoiNGE4MmJmZWM4N2NmNzM0ODc5NTJkMGZhNzZhNmI2ZDgiLCJ1c2VySWQiOiI2OTYyMTYzMjYifQ==</vt:lpwstr>
  </property>
</Properties>
</file>