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34F86">
      <w:pPr>
        <w:jc w:val="center"/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32"/>
          <w:szCs w:val="32"/>
        </w:rPr>
        <w:t>易肽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>EasyPept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vertAlign w:val="superscript"/>
          <w:lang w:val="en-US" w:eastAsia="zh-CN"/>
        </w:rPr>
        <w:t>TM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 xml:space="preserve"> PTM</w:t>
      </w:r>
    </w:p>
    <w:p w14:paraId="0C895F73">
      <w:pPr>
        <w:jc w:val="center"/>
        <w:rPr>
          <w:rFonts w:hint="default" w:ascii="Times New Roman" w:hAnsi="Times New Roman" w:eastAsia="微软雅黑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en-US" w:eastAsia="zh-CN"/>
        </w:rPr>
        <w:t>磷酸化富集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</w:rPr>
        <w:t>试剂盒</w:t>
      </w:r>
    </w:p>
    <w:p w14:paraId="220980B8">
      <w:pPr>
        <w:jc w:val="center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货号：OSFP0005</w:t>
      </w:r>
      <w:r>
        <w:rPr>
          <w:rFonts w:hint="eastAsia" w:ascii="Times New Roman" w:hAnsi="Times New Roman" w:eastAsia="微软雅黑" w:cs="Times New Roman"/>
          <w:lang w:val="en-US" w:eastAsia="zh-CN"/>
        </w:rPr>
        <w:t>-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200μg 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lang w:val="en-US" w:eastAsia="zh-CN"/>
        </w:rPr>
        <w:t>规格：</w:t>
      </w:r>
      <w:r>
        <w:rPr>
          <w:rFonts w:hint="eastAsia" w:ascii="Times New Roman" w:hAnsi="Times New Roman" w:eastAsia="微软雅黑" w:cs="Times New Roman"/>
          <w:lang w:val="en-US" w:eastAsia="zh-CN"/>
        </w:rPr>
        <w:t>48</w:t>
      </w:r>
      <w:r>
        <w:rPr>
          <w:rFonts w:hint="default" w:ascii="Times New Roman" w:hAnsi="Times New Roman" w:eastAsia="微软雅黑" w:cs="Times New Roman"/>
          <w:lang w:val="en-US" w:eastAsia="zh-CN"/>
        </w:rPr>
        <w:t>x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版本号：V20260609</w:t>
      </w:r>
    </w:p>
    <w:p w14:paraId="49320A8A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试剂盒包含</w:t>
      </w:r>
    </w:p>
    <w:tbl>
      <w:tblPr>
        <w:tblStyle w:val="8"/>
        <w:tblpPr w:leftFromText="180" w:rightFromText="180" w:vertAnchor="text" w:horzAnchor="page" w:tblpX="1798" w:tblpY="579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643"/>
        <w:gridCol w:w="3919"/>
        <w:gridCol w:w="1776"/>
      </w:tblGrid>
      <w:tr w14:paraId="58C25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748A1E7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试剂名称</w:t>
            </w:r>
          </w:p>
        </w:tc>
        <w:tc>
          <w:tcPr>
            <w:tcW w:w="883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478F55C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规格</w:t>
            </w:r>
          </w:p>
        </w:tc>
        <w:tc>
          <w:tcPr>
            <w:tcW w:w="2106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B24BEDE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简   介</w:t>
            </w:r>
          </w:p>
        </w:tc>
        <w:tc>
          <w:tcPr>
            <w:tcW w:w="954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7DE13D2">
            <w:pPr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sz w:val="21"/>
                <w:szCs w:val="21"/>
              </w:rPr>
              <w:t>储存条件</w:t>
            </w:r>
          </w:p>
        </w:tc>
      </w:tr>
      <w:tr w14:paraId="5C372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0A6A7242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DF731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color w:val="FDF731"/>
                <w:sz w:val="21"/>
                <w:szCs w:val="21"/>
              </w:rPr>
              <w:t xml:space="preserve"> 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7DDD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ml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5C955B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裂解液，用于蛋白裂解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08C166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2EA5F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64609B13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磷酸酶抑制剂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63A487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μl*1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1D3935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蛋白酶抑制剂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47971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lang w:val="en-US" w:eastAsia="zh-CN"/>
              </w:rPr>
              <w:t>4℃</w:t>
            </w:r>
          </w:p>
        </w:tc>
      </w:tr>
      <w:tr w14:paraId="3A03E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12A95DD1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A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843C0B"/>
                <w:sz w:val="21"/>
                <w:szCs w:val="21"/>
                <w:vertAlign w:val="baseline"/>
                <w:lang w:val="en-US" w:eastAsia="zh-CN"/>
              </w:rPr>
              <w:t>●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39617E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bookmarkStart w:id="0" w:name="OLE_LINK2"/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270 μl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</w:t>
            </w:r>
            <w:bookmarkEnd w:id="0"/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653B0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还原烷基化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，蛋白质还原烷基化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41E876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15E94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28DC5E5F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B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000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3D17FE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270 μl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*6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63605F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酶，蛋白酶解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75EA85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-20℃</w:t>
            </w:r>
          </w:p>
        </w:tc>
      </w:tr>
      <w:tr w14:paraId="6AD64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1FB860E7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067435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300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09A2A7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终止试剂，终止酶解反应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2EC702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62043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6888624E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Elution Buffer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FF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6E8EAC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1.5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90E9E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除盐时肽段洗脱试剂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29A22A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5F2D6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1A822CA5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bookmarkStart w:id="1" w:name="OLE_LINK4"/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58420</wp:posOffset>
                      </wp:positionV>
                      <wp:extent cx="76200" cy="76200"/>
                      <wp:effectExtent l="4445" t="4445" r="5080" b="5080"/>
                      <wp:wrapNone/>
                      <wp:docPr id="12" name="流程图: 联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2353945" y="5808345"/>
                                <a:ext cx="76200" cy="76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 w="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20" type="#_x0000_t120" style="position:absolute;left:0pt;flip:x;margin-left:78.6pt;margin-top:4.6pt;height:6pt;width:6pt;z-index:251661312;v-text-anchor:middle;mso-width-relative:page;mso-height-relative:page;" fillcolor="#FFFFFF [3212]" filled="t" stroked="t" coordsize="21600,21600" o:gfxdata="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BAKWb7UAAAACAEAAA8AAAAA&#10;AAAAAQAgAAAAIgAAAGRycy9kb3ducmV2LnhtbFBLAQIUABQAAAAIAIdO4kD4N9DCigIAAAcFAAAO&#10;AAAAAAAAAAEAIAAAACMBAABkcnMvZTJvRG9jLnhtbFBLBQYAAAAABgAGAFkBAAAfBgAAAAA=&#10;">
                      <v:fill on="t" focussize="0,0"/>
                      <v:stroke weight="0pt" color="#000000 [3213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Additional Buffer</w:t>
            </w:r>
            <w:bookmarkEnd w:id="1"/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FFFF" w:themeColor="background1"/>
                <w:sz w:val="21"/>
                <w:szCs w:val="21"/>
                <w:shd w:val="clear" w:fill="FFFFFF" w:themeFill="background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4CFE29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1.5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238594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磷酸化富集前补加试剂调整体系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432B3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2A332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6CB28D54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F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5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00684E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10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5746D8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3488E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17B9C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7DA1B81F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G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E46C0A" w:themeColor="accent6" w:themeShade="BF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458CBC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 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l*1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729DB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5D2E62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25877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66CBC486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H1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FFFFF" w:themeColor="background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4FB92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00 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0928FC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1CF29F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67DA1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2EF4A308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H2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7030A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61F8D3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00 μl*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1060CF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400FFF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4℃</w:t>
            </w:r>
          </w:p>
        </w:tc>
      </w:tr>
      <w:tr w14:paraId="5E27F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2D5611D0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Cartridge</w:t>
            </w:r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1E5475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 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3C5BBA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肽段脱盐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4FFBB6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420E4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56" w:type="pct"/>
            <w:tcBorders>
              <w:top w:val="nil"/>
              <w:bottom w:val="nil"/>
            </w:tcBorders>
            <w:noWrap w:val="0"/>
            <w:vAlign w:val="center"/>
          </w:tcPr>
          <w:p w14:paraId="5AF2C846">
            <w:pPr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2" w:name="OLE_LINK1"/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EnrichmentTip</w:t>
            </w:r>
            <w:bookmarkEnd w:id="2"/>
          </w:p>
        </w:tc>
        <w:tc>
          <w:tcPr>
            <w:tcW w:w="883" w:type="pct"/>
            <w:tcBorders>
              <w:top w:val="nil"/>
              <w:bottom w:val="nil"/>
            </w:tcBorders>
            <w:noWrap w:val="0"/>
            <w:vAlign w:val="center"/>
          </w:tcPr>
          <w:p w14:paraId="37FE40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200 μg载量*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  <w:tc>
          <w:tcPr>
            <w:tcW w:w="2106" w:type="pct"/>
            <w:tcBorders>
              <w:top w:val="nil"/>
              <w:bottom w:val="nil"/>
            </w:tcBorders>
            <w:noWrap w:val="0"/>
            <w:vAlign w:val="center"/>
          </w:tcPr>
          <w:p w14:paraId="407D3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肽段富集</w:t>
            </w:r>
          </w:p>
        </w:tc>
        <w:tc>
          <w:tcPr>
            <w:tcW w:w="954" w:type="pct"/>
            <w:tcBorders>
              <w:top w:val="nil"/>
              <w:bottom w:val="nil"/>
            </w:tcBorders>
            <w:noWrap w:val="0"/>
            <w:vAlign w:val="center"/>
          </w:tcPr>
          <w:p w14:paraId="74C286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常温避光</w:t>
            </w:r>
          </w:p>
        </w:tc>
      </w:tr>
      <w:tr w14:paraId="3BBD0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65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A0A29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Adaptor</w:t>
            </w:r>
          </w:p>
        </w:tc>
        <w:tc>
          <w:tcPr>
            <w:tcW w:w="1643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0B67A2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24</w:t>
            </w:r>
          </w:p>
        </w:tc>
        <w:tc>
          <w:tcPr>
            <w:tcW w:w="3919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7D5EC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除盐适配器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（仅在首次购买试剂盒时附赠）</w:t>
            </w:r>
          </w:p>
        </w:tc>
        <w:tc>
          <w:tcPr>
            <w:tcW w:w="1776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377CCE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常温</w:t>
            </w:r>
          </w:p>
        </w:tc>
      </w:tr>
    </w:tbl>
    <w:p w14:paraId="301003D3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试剂盒简介</w:t>
      </w:r>
      <w:bookmarkStart w:id="4" w:name="_GoBack"/>
      <w:bookmarkEnd w:id="4"/>
    </w:p>
    <w:p w14:paraId="2F890962">
      <w:pPr>
        <w:jc w:val="left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样品制备是蛋白质组学实验最重要的步骤之一，合适的前处理过程是实验成功的关键。尤其翻译后修饰组学，由于含量低、不稳定的特性，对样本的保存、制备条件要求更为严格。</w:t>
      </w:r>
    </w:p>
    <w:p w14:paraId="29C5DBE5"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易肽EasyPept</w:t>
      </w:r>
      <w:r>
        <w:rPr>
          <w:rFonts w:hint="default" w:ascii="Times New Roman" w:hAnsi="Times New Roman" w:eastAsia="微软雅黑" w:cs="Times New Roman"/>
          <w:vertAlign w:val="superscript"/>
          <w:lang w:val="en-US" w:eastAsia="zh-CN"/>
        </w:rPr>
        <w:t>TM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 PTM磷酸化富集试剂盒旨在以较低的样本初始量、较少的样品制备步骤和较短的操作时间获得最佳的实验结果。适用于组织、细胞等样本类型，尤其对于大队列样本的制备过程充分体现出其高通量、高稳健性的优势。该试剂盒提供磷酸化多肽制备包括蛋白变性、还原烷基化、蛋白酶解、肽段脱盐以及肽段富集过程的相关试剂。基于溶液内快速酶解的前处理方法，解决了传统方法样本用量多、试剂成本高、损失大、耗时长的弊端，仅需2-3小时即可完成肽段制备的步骤，且平行性好。基于离心式的肽段富集过程，操作简便，仅需0.5h即可完成肽段富集，以实现微量磷酸化肽段的快速制备及深度覆盖检测。</w:t>
      </w:r>
    </w:p>
    <w:p w14:paraId="69EE463A">
      <w:pPr>
        <w:pStyle w:val="2"/>
        <w:bidi w:val="0"/>
        <w:spacing w:before="0" w:after="0"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68975" cy="2768600"/>
            <wp:effectExtent l="0" t="0" r="0" b="0"/>
            <wp:docPr id="1" name="图片 1" descr="OSFP-0005不抽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SFP-0005不抽干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C35BE">
      <w:pPr>
        <w:jc w:val="left"/>
        <w:rPr>
          <w:rFonts w:hint="eastAsia" w:ascii="Times New Roman" w:hAnsi="Times New Roman" w:eastAsia="微软雅黑" w:cs="Times New Roman"/>
          <w:sz w:val="18"/>
          <w:szCs w:val="18"/>
          <w:lang w:val="en-US" w:eastAsia="zh-CN"/>
        </w:rPr>
      </w:pPr>
    </w:p>
    <w:p w14:paraId="47878D2D"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需要准备的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设备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耗材</w:t>
      </w:r>
    </w:p>
    <w:p w14:paraId="73E482CD">
      <w:pPr>
        <w:numPr>
          <w:ilvl w:val="0"/>
          <w:numId w:val="0"/>
        </w:numPr>
        <w:spacing w:line="240" w:lineRule="auto"/>
        <w:ind w:leftChars="0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3.1设备</w:t>
      </w:r>
    </w:p>
    <w:tbl>
      <w:tblPr>
        <w:tblStyle w:val="8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413"/>
        <w:gridCol w:w="6060"/>
      </w:tblGrid>
      <w:tr w14:paraId="487A0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84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02C66A00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759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11702A6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56" w:type="pct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010FAC0D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b/>
                <w:bCs/>
                <w:sz w:val="18"/>
                <w:szCs w:val="18"/>
              </w:rPr>
              <w:t>简    介</w:t>
            </w:r>
          </w:p>
        </w:tc>
      </w:tr>
      <w:tr w14:paraId="262F4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526418F4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移液器</w:t>
            </w:r>
          </w:p>
        </w:tc>
        <w:tc>
          <w:tcPr>
            <w:tcW w:w="759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57F30FD5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381000" cy="495300"/>
                  <wp:effectExtent l="0" t="0" r="0" b="7620"/>
                  <wp:docPr id="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45856354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吸取蛋白提取过程中的蛋白上清，减少污染物，提高蛋白定量准确度</w:t>
            </w:r>
          </w:p>
        </w:tc>
      </w:tr>
      <w:tr w14:paraId="6650F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39DD1C2E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恒温混匀仪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5659B385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609600" cy="508000"/>
                  <wp:effectExtent l="0" t="0" r="0" b="10160"/>
                  <wp:docPr id="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03E5247A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提供95℃及37℃的恒温条件，促进蛋白质的裂解与酶解</w:t>
            </w:r>
          </w:p>
        </w:tc>
      </w:tr>
      <w:tr w14:paraId="7E917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79F7DB59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高通量组织研磨仪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51887E5E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drawing>
                <wp:inline distT="0" distB="0" distL="114300" distR="114300">
                  <wp:extent cx="407670" cy="542290"/>
                  <wp:effectExtent l="0" t="0" r="1905" b="635"/>
                  <wp:docPr id="160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5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 trans="30000" detail="2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8111" t="15067" r="30556" b="11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" cy="54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40F8B038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不同组织样本的破碎，抽提蛋白质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instrText xml:space="preserve"> HYPERLINK "https://mp.weixin.qq.com/s/P_2KMzSH53Wlp3PFZfqA-w" </w:instrTex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fldChar w:fldCharType="separate"/>
            </w:r>
            <w:r>
              <w:rPr>
                <w:rStyle w:val="11"/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推荐使用PreOmics Beatbox高通量组织研磨仪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fldChar w:fldCharType="end"/>
            </w:r>
          </w:p>
        </w:tc>
      </w:tr>
      <w:tr w14:paraId="46A19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pct"/>
            <w:tcBorders>
              <w:top w:val="nil"/>
              <w:bottom w:val="nil"/>
            </w:tcBorders>
            <w:noWrap w:val="0"/>
            <w:vAlign w:val="center"/>
          </w:tcPr>
          <w:p w14:paraId="063F1904">
            <w:pPr>
              <w:spacing w:line="240" w:lineRule="auto"/>
              <w:jc w:val="center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冷冻/常温离心机</w:t>
            </w:r>
          </w:p>
        </w:tc>
        <w:tc>
          <w:tcPr>
            <w:tcW w:w="759" w:type="pct"/>
            <w:tcBorders>
              <w:top w:val="nil"/>
              <w:bottom w:val="nil"/>
            </w:tcBorders>
            <w:noWrap w:val="0"/>
            <w:vAlign w:val="center"/>
          </w:tcPr>
          <w:p w14:paraId="2AA3E6B1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  <w:lang w:eastAsia="zh-CN"/>
              </w:rPr>
              <w:drawing>
                <wp:inline distT="0" distB="0" distL="114300" distR="114300">
                  <wp:extent cx="533400" cy="723900"/>
                  <wp:effectExtent l="0" t="0" r="0" b="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nil"/>
            </w:tcBorders>
            <w:noWrap w:val="0"/>
            <w:vAlign w:val="center"/>
          </w:tcPr>
          <w:p w14:paraId="1343D790">
            <w:pPr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18"/>
                <w:szCs w:val="18"/>
              </w:rPr>
              <w:t>冷冻离心机用于蛋白提取，常温离心机用于肽段脱盐，适配器支持1.5/2ml离心管</w:t>
            </w:r>
          </w:p>
        </w:tc>
      </w:tr>
      <w:tr w14:paraId="638E9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84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9135F3F">
            <w:pPr>
              <w:spacing w:line="240" w:lineRule="auto"/>
              <w:jc w:val="center"/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eastAsia="zh-CN"/>
              </w:rPr>
              <w:t>真空离心浓缩仪</w:t>
            </w:r>
          </w:p>
        </w:tc>
        <w:tc>
          <w:tcPr>
            <w:tcW w:w="759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12B82D32">
            <w:pPr>
              <w:spacing w:line="240" w:lineRule="auto"/>
              <w:jc w:val="left"/>
              <w:rPr>
                <w:rFonts w:ascii="Times New Roman" w:hAnsi="Times New Roman" w:eastAsia="微软雅黑" w:cs="Times New Roman"/>
                <w:sz w:val="18"/>
                <w:szCs w:val="18"/>
              </w:rPr>
            </w:pPr>
            <w:r>
              <w:drawing>
                <wp:inline distT="0" distB="0" distL="114300" distR="114300">
                  <wp:extent cx="759460" cy="937895"/>
                  <wp:effectExtent l="0" t="0" r="2540" b="698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pct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03EBE9F6">
            <w:pPr>
              <w:spacing w:line="240" w:lineRule="auto"/>
              <w:jc w:val="left"/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微软雅黑" w:cs="Times New Roman"/>
                <w:sz w:val="18"/>
                <w:szCs w:val="18"/>
              </w:rPr>
              <w:t>脱盐后的肽段</w:t>
            </w:r>
            <w:r>
              <w:rPr>
                <w:rFonts w:hint="eastAsia" w:ascii="Times New Roman" w:hAnsi="Times New Roman" w:eastAsia="微软雅黑" w:cs="Times New Roman"/>
                <w:sz w:val="18"/>
                <w:szCs w:val="18"/>
                <w:lang w:val="en-US" w:eastAsia="zh-CN"/>
              </w:rPr>
              <w:t>干燥</w:t>
            </w:r>
          </w:p>
        </w:tc>
      </w:tr>
    </w:tbl>
    <w:p w14:paraId="1E0932B2">
      <w:pPr>
        <w:spacing w:line="240" w:lineRule="auto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b/>
          <w:bCs/>
          <w:sz w:val="21"/>
          <w:szCs w:val="21"/>
        </w:rPr>
        <w:t>3.2 试剂</w:t>
      </w:r>
    </w:p>
    <w:p w14:paraId="7742EF20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Trifluoroacetic acid (TFA)  </w:t>
      </w:r>
    </w:p>
    <w:p w14:paraId="20B13ABA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Acetonitrile (ACN), LC-MS Grade </w:t>
      </w:r>
    </w:p>
    <w:p w14:paraId="3D030EF1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Water, LC-MS Grade  </w:t>
      </w:r>
    </w:p>
    <w:p w14:paraId="5EAB8D64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 xml:space="preserve">Methanol (MeOH), Optima™ LC-MS Grade </w:t>
      </w:r>
    </w:p>
    <w:p w14:paraId="5F38E4AE">
      <w:pPr>
        <w:widowControl/>
        <w:numPr>
          <w:ilvl w:val="0"/>
          <w:numId w:val="2"/>
        </w:numPr>
        <w:spacing w:line="36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Low Protein Binding Microcentrifuge Tubes, 2.0 mL/1.5mL</w:t>
      </w:r>
    </w:p>
    <w:p w14:paraId="3F2EE4A2">
      <w:pPr>
        <w:widowControl/>
        <w:spacing w:line="240" w:lineRule="auto"/>
        <w:jc w:val="left"/>
        <w:rPr>
          <w:rFonts w:ascii="Times New Roman" w:hAnsi="Times New Roman" w:eastAsia="微软雅黑" w:cs="Times New Roman"/>
          <w:b/>
          <w:bCs/>
          <w:sz w:val="21"/>
          <w:szCs w:val="21"/>
        </w:rPr>
      </w:pPr>
    </w:p>
    <w:p w14:paraId="00B4C0FD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4. 试剂准备</w:t>
      </w:r>
    </w:p>
    <w:p w14:paraId="0639D140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Condition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70%ACN，0.2%TFA，每个样本需要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20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2.98m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l超纯水和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7m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l无水乙腈中，混匀；</w:t>
      </w:r>
    </w:p>
    <w:p w14:paraId="6D55C813">
      <w:pPr>
        <w:widowControl/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1"/>
          <w:szCs w:val="21"/>
          <w:lang w:bidi="ar"/>
        </w:rPr>
        <w:t>Wash buffer：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0.2%TFA，每个样本需要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6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72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μl TFA加入到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35.928m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l超纯水，混匀；</w:t>
      </w:r>
    </w:p>
    <w:p w14:paraId="58EAE1E6">
      <w:pPr>
        <w:spacing w:line="240" w:lineRule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 操作过程</w:t>
      </w:r>
    </w:p>
    <w:p w14:paraId="37EF4AB0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.1 蛋白提取</w:t>
      </w:r>
    </w:p>
    <w:p w14:paraId="55DA1BA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试剂0使用前按照1:100（磷酸酶抑制剂：试剂0）加入磷酸酶抑制剂；</w:t>
      </w:r>
    </w:p>
    <w:p w14:paraId="0EB7BD3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对于细胞样本，细胞沉淀中加入适量试剂 0（参考体积比，细胞沉淀：试剂0约 1:5）涡旋混匀，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200μl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枪头反复吹打15-20次，然后95℃加热5min（95℃，1000 rpm）；</w:t>
      </w:r>
    </w:p>
    <w:p w14:paraId="029891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/>
        <w:textAlignment w:val="auto"/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注：样品出现粘稠时使用超声波细胞破碎仪冰上超声2 min （25-30Hz ,每10s停10s）或者金属浴95℃加热10min；</w:t>
      </w:r>
    </w:p>
    <w:p w14:paraId="70A99E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对于组织样本，取适量组织样品加入试剂0（按1：8的比例加入试剂0，即25mg组织加入200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highlight w:val="none"/>
          <w:lang w:val="en-US" w:eastAsia="zh-CN" w:bidi="ar"/>
        </w:rPr>
        <w:t>μl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试剂0），高通量组织研磨仪震荡研磨3次，然后95℃加热5min（95℃，1000 rpm）；</w:t>
      </w:r>
    </w:p>
    <w:p w14:paraId="477E4C4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4℃，12000g 离心 20min，取上清；</w:t>
      </w:r>
    </w:p>
    <w:p w14:paraId="3C1F811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上清进行 BCA 蛋白定量；</w:t>
      </w:r>
    </w:p>
    <w:p w14:paraId="67F0D13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根据定量结果，建议取300μg 蛋白样品进行后续操作。</w:t>
      </w:r>
    </w:p>
    <w:p w14:paraId="4F8554A2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蛋白酶解</w:t>
      </w:r>
    </w:p>
    <w:p w14:paraId="17D7EE3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步骤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.1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e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中得到的蛋白溶液</w:t>
      </w:r>
      <w:r>
        <w:rPr>
          <w:rFonts w:hint="default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（建议总体积不超过60μl，如果体积小于60μl，再补加试剂0至总终体积为60μl）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依次加入新的EP管中，分别补加试剂A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 μl，吹打混匀，95℃加热5min（95℃，1000 rpm）；</w:t>
      </w:r>
    </w:p>
    <w:p w14:paraId="6848CC8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加热结束待样品恢复至室温后，每个样本中加入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 μl试剂B，混匀，37℃酶解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2H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℃，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7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 rpm）；</w:t>
      </w:r>
    </w:p>
    <w:p w14:paraId="4E92807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425" w:leftChars="0" w:hanging="425" w:firstLineChars="0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酶解结束后每孔加入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25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 μl试剂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，混匀，终止酶解反应，此时会有沉淀出现，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16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000g离心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min吸取上清后再进行后续脱盐。</w:t>
      </w:r>
    </w:p>
    <w:p w14:paraId="1E784D01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.3 肽段脱盐</w:t>
      </w:r>
    </w:p>
    <w:p w14:paraId="7F9E0EB3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bookmarkStart w:id="3" w:name="OLE_LINK3"/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脱盐柱活化：100μl甲醇加入到脱盐柱中，700g离心1min；</w:t>
      </w:r>
    </w:p>
    <w:p w14:paraId="3CDC360A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脱盐柱去杂质：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Condition buffer加入到脱盐柱中，700g离心1min；</w:t>
      </w:r>
    </w:p>
    <w:p w14:paraId="12C85BA3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脱盐柱平衡：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buffer加入到脱盐柱中，700g离心1min；</w:t>
      </w:r>
    </w:p>
    <w:p w14:paraId="677B7A8B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加载样本：将样本全部加载到脱盐柱中，700g离心1min，重复操作一次；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（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val="en-US" w:eastAsia="zh-CN" w:bidi="ar"/>
        </w:rPr>
        <w:t>加载样本前确保pH &lt; 3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，可</w:t>
      </w:r>
      <w:r>
        <w:rPr>
          <w:rFonts w:hint="eastAsia"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使用20%TFA</w:t>
      </w:r>
      <w:r>
        <w:rPr>
          <w:rFonts w:ascii="Times New Roman" w:hAnsi="Times New Roman" w:eastAsia="微软雅黑" w:cs="Times New Roman"/>
          <w:color w:val="FF0000"/>
          <w:kern w:val="0"/>
          <w:sz w:val="21"/>
          <w:szCs w:val="21"/>
          <w:lang w:bidi="ar"/>
        </w:rPr>
        <w:t>调pH＜3后加载样本）</w:t>
      </w:r>
    </w:p>
    <w:p w14:paraId="577DDF6B">
      <w:pPr>
        <w:widowControl/>
        <w:numPr>
          <w:ilvl w:val="0"/>
          <w:numId w:val="5"/>
        </w:numPr>
        <w:spacing w:line="240" w:lineRule="auto"/>
        <w:jc w:val="left"/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脱盐柱清洗：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00μl Wash buffer加入到脱盐柱中，700g离心1min，重复操作一次；</w:t>
      </w:r>
    </w:p>
    <w:p w14:paraId="5023B44C">
      <w:pPr>
        <w:widowControl/>
        <w:numPr>
          <w:ilvl w:val="0"/>
          <w:numId w:val="5"/>
        </w:numPr>
        <w:spacing w:line="240" w:lineRule="auto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样本洗脱：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将除盐柱转移到新的离心管中，5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0μl Elution buffer加入到脱盐柱中，700g离心1min，洗脱两次，最终样本体积为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bidi="ar"/>
        </w:rPr>
        <w:t>0μl。</w:t>
      </w:r>
    </w:p>
    <w:bookmarkEnd w:id="3"/>
    <w:p w14:paraId="1D5EF4E4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 xml:space="preserve"> 肽段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富集</w:t>
      </w:r>
    </w:p>
    <w:p w14:paraId="26FB8E83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将EnrichmentTip（富集柱）插入Adaptor上置于2ml离心管中；</w:t>
      </w:r>
    </w:p>
    <w:p w14:paraId="71E64E0C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 xml:space="preserve">0μl </w:t>
      </w:r>
      <w:r>
        <w:rPr>
          <w:rFonts w:hint="eastAsia" w:ascii="Times New Roman" w:hAnsi="Times New Roman" w:eastAsia="微软雅黑" w:cs="Times New Roman"/>
          <w:sz w:val="21"/>
          <w:szCs w:val="21"/>
          <w:lang w:val="en-US" w:eastAsia="zh-CN"/>
        </w:rPr>
        <w:t>Additional Buffer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加入到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.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2f洗脱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的肽段中，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涡旋混匀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；</w:t>
      </w:r>
    </w:p>
    <w:p w14:paraId="29D71E2D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7B62C91F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000g离心1min，弃掉流穿液；</w:t>
      </w:r>
    </w:p>
    <w:p w14:paraId="7DB6D1D8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将放有EnrichmentTip（富集柱）的Adaptor转移至新的2ml离心管中；</w:t>
      </w:r>
    </w:p>
    <w:p w14:paraId="6E31842A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加载样本：将样本全部加载到富集柱中，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000g离心5min，流穿液重复过柱一次；</w:t>
      </w:r>
    </w:p>
    <w:p w14:paraId="6D8A288D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10DF7C5A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6FA32DD1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试剂F加入到EnrichmentTip（富集柱）中，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6C7D920C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试剂G加入到EnrichmentTip（富集柱）中，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5B7EB6D2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50μl LC-MS水加入到EnrichmentTip（富集柱）中，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000g离心1min；</w:t>
      </w:r>
    </w:p>
    <w:p w14:paraId="0515E6A2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将放有EnrichmentTip（富集柱）的Adaptor转移至新的EP管中（建议采用低吸附离心管）；</w:t>
      </w:r>
    </w:p>
    <w:p w14:paraId="076CDBC0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样本洗脱：50μl 试剂H1加入到EnrichmentTip（富集柱）中，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000g离心5min；</w:t>
      </w:r>
    </w:p>
    <w:p w14:paraId="1E2D8EEB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样本洗脱：50μl 试剂H2加入到EnrichmentTip（富集柱）中，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000g离心5min；</w:t>
      </w:r>
    </w:p>
    <w:p w14:paraId="5BFA6BAA">
      <w:pPr>
        <w:widowControl/>
        <w:numPr>
          <w:ilvl w:val="0"/>
          <w:numId w:val="6"/>
        </w:numPr>
        <w:spacing w:line="240" w:lineRule="auto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真空离心浓缩仪浓缩样本（建议&lt; 30℃）。</w:t>
      </w:r>
    </w:p>
    <w:p w14:paraId="6C5753AC">
      <w:pPr>
        <w:spacing w:line="240" w:lineRule="auto"/>
        <w:rPr>
          <w:rFonts w:hint="default" w:ascii="Times New Roman" w:hAnsi="Times New Roman" w:eastAsia="微软雅黑" w:cs="Times New Roman"/>
          <w:b/>
          <w:bCs/>
          <w:sz w:val="21"/>
          <w:szCs w:val="21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</w:rPr>
        <w:t>. 注意事项</w:t>
      </w:r>
    </w:p>
    <w:p w14:paraId="046D52D0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试剂0和试剂A低温下会析出，建议使用前置于水浴锅中（37-50℃）放置10min，待结晶重新溶解后混合均匀使用；</w:t>
      </w:r>
    </w:p>
    <w:p w14:paraId="12C0D910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12B9A805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酶解结束后加入试剂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C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有沉淀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出现属于正常情况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可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高速离心后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再</w:t>
      </w: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进行后续实验；</w:t>
      </w:r>
    </w:p>
    <w:p w14:paraId="0B4713BD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样本比较难消化酶解时可适当加长酶解时间；</w:t>
      </w:r>
    </w:p>
    <w:p w14:paraId="2D8C58BE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酶解后样本如不能及时进行后续脱盐处理，可-80℃存放2周；</w:t>
      </w:r>
    </w:p>
    <w:p w14:paraId="333E54E0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420" w:hanging="42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9"/>
        <w:gridCol w:w="2640"/>
      </w:tblGrid>
      <w:tr w14:paraId="5F010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539" w:type="dxa"/>
            <w:noWrap w:val="0"/>
            <w:vAlign w:val="top"/>
          </w:tcPr>
          <w:p w14:paraId="1DD2C7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  <w:drawing>
                <wp:inline distT="0" distB="0" distL="114300" distR="114300">
                  <wp:extent cx="666115" cy="666115"/>
                  <wp:effectExtent l="0" t="0" r="4445" b="4445"/>
                  <wp:docPr id="6" name="图片 10" descr="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0" descr="cod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noWrap w:val="0"/>
            <w:vAlign w:val="center"/>
          </w:tcPr>
          <w:p w14:paraId="090EB80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官方网站：</w:t>
            </w:r>
            <w:r>
              <w:rPr>
                <w:rStyle w:val="10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www.omicsolution.com</w:t>
            </w:r>
          </w:p>
          <w:p w14:paraId="5CEDC3A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若有任何疑问，欢迎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发送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邮件</w:t>
            </w:r>
            <w:r>
              <w:rPr>
                <w:rFonts w:hint="eastAsia" w:ascii="Times New Roman" w:hAnsi="Times New Roman" w:eastAsia="微软雅黑" w:cs="Times New Roman"/>
                <w:color w:val="415163"/>
                <w:sz w:val="15"/>
                <w:szCs w:val="15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微软雅黑" w:cs="Times New Roman"/>
                <w:color w:val="415163"/>
                <w:sz w:val="15"/>
                <w:szCs w:val="15"/>
              </w:rPr>
              <w:t>：</w:t>
            </w:r>
          </w:p>
          <w:p w14:paraId="1B97E4D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微软雅黑" w:cs="Times New Roman"/>
                <w:kern w:val="0"/>
                <w:sz w:val="15"/>
                <w:szCs w:val="15"/>
                <w:lang w:val="en-US" w:eastAsia="zh-CN" w:bidi="ar"/>
              </w:rPr>
              <w:t>support@omicsolution.com</w:t>
            </w:r>
          </w:p>
        </w:tc>
      </w:tr>
    </w:tbl>
    <w:p w14:paraId="00679EA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327" w:right="1406" w:bottom="1157" w:left="1406" w:header="851" w:footer="90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233E9">
    <w:pPr>
      <w:pStyle w:val="4"/>
      <w:rPr>
        <w:rFonts w:hint="eastAsia"/>
        <w:lang w:eastAsia="zh-CN"/>
      </w:rPr>
    </w:pPr>
    <w:r>
      <w:rPr>
        <w:rFonts w:hint="eastAsia" w:ascii="微软雅黑" w:hAnsi="微软雅黑" w:eastAsia="微软雅黑" w:cs="微软雅黑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635</wp:posOffset>
          </wp:positionH>
          <wp:positionV relativeFrom="page">
            <wp:posOffset>9482455</wp:posOffset>
          </wp:positionV>
          <wp:extent cx="7566660" cy="1215390"/>
          <wp:effectExtent l="0" t="0" r="5715" b="3810"/>
          <wp:wrapNone/>
          <wp:docPr id="8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 flipV="1">
                    <a:off x="0" y="0"/>
                    <a:ext cx="7566660" cy="1215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微软雅黑" w:hAnsi="微软雅黑" w:eastAsia="微软雅黑" w:cs="微软雅黑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2595245</wp:posOffset>
              </wp:positionH>
              <wp:positionV relativeFrom="paragraph">
                <wp:posOffset>99060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85D3644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35pt;margin-top:7.8pt;height:144pt;width:144pt;mso-position-horizontal-relative:margin;mso-wrap-style:none;z-index:251662336;mso-width-relative:page;mso-height-relative:page;" filled="f" stroked="f" coordsize="21600,21600" o:gfxdata="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BoPKC1wAAAAoBAAAPAAAAAAAAAAEAIAAAACIAAABkcnMvZG93bnJl&#10;di54bWxQSwECFAAUAAAACACHTuJAe3NDNTcCAABx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5D3644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0BE10">
    <w:pPr>
      <w:pStyle w:val="5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-1270</wp:posOffset>
          </wp:positionH>
          <wp:positionV relativeFrom="page">
            <wp:posOffset>-10160</wp:posOffset>
          </wp:positionV>
          <wp:extent cx="7562215" cy="1357630"/>
          <wp:effectExtent l="0" t="0" r="635" b="4445"/>
          <wp:wrapNone/>
          <wp:docPr id="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911860"/>
          <wp:effectExtent l="1487170" t="0" r="1548130" b="0"/>
          <wp:wrapNone/>
          <wp:docPr id="9" name="WordPictureWatermark3966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PictureWatermark39663" descr="logo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91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A7489"/>
    <w:multiLevelType w:val="singleLevel"/>
    <w:tmpl w:val="842A748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B7E1CEB6"/>
    <w:multiLevelType w:val="singleLevel"/>
    <w:tmpl w:val="B7E1CEB6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CE045B9A"/>
    <w:multiLevelType w:val="singleLevel"/>
    <w:tmpl w:val="CE045B9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D0856594"/>
    <w:multiLevelType w:val="singleLevel"/>
    <w:tmpl w:val="D085659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661BB288"/>
    <w:multiLevelType w:val="singleLevel"/>
    <w:tmpl w:val="661BB28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mJmZWM4N2NmNzM0ODc5NTJkMGZhNzZhNmI2ZDgifQ=="/>
    <w:docVar w:name="KSO_WPS_MARK_KEY" w:val="c710771c-7e4b-4b21-9f3c-0f09699c3b68"/>
  </w:docVars>
  <w:rsids>
    <w:rsidRoot w:val="00000000"/>
    <w:rsid w:val="006530C4"/>
    <w:rsid w:val="01F0103B"/>
    <w:rsid w:val="05343BC0"/>
    <w:rsid w:val="06314672"/>
    <w:rsid w:val="08BB636A"/>
    <w:rsid w:val="0AAD3926"/>
    <w:rsid w:val="0DBF2128"/>
    <w:rsid w:val="0E903DF5"/>
    <w:rsid w:val="0EC36F4B"/>
    <w:rsid w:val="11201764"/>
    <w:rsid w:val="11EA4C32"/>
    <w:rsid w:val="121C0AD1"/>
    <w:rsid w:val="127D4BC7"/>
    <w:rsid w:val="13AC0DFB"/>
    <w:rsid w:val="157775EA"/>
    <w:rsid w:val="15B862A6"/>
    <w:rsid w:val="17E80746"/>
    <w:rsid w:val="188350F6"/>
    <w:rsid w:val="1AAC4654"/>
    <w:rsid w:val="1B705904"/>
    <w:rsid w:val="1BAF4D2D"/>
    <w:rsid w:val="1D2737FF"/>
    <w:rsid w:val="1DE00CC1"/>
    <w:rsid w:val="1E112B2E"/>
    <w:rsid w:val="1EB33076"/>
    <w:rsid w:val="1EFC5E1C"/>
    <w:rsid w:val="20723F75"/>
    <w:rsid w:val="20794EC0"/>
    <w:rsid w:val="222A5F67"/>
    <w:rsid w:val="22FB392B"/>
    <w:rsid w:val="23976657"/>
    <w:rsid w:val="239D478B"/>
    <w:rsid w:val="2AA913D2"/>
    <w:rsid w:val="2C7E2503"/>
    <w:rsid w:val="2C9B2284"/>
    <w:rsid w:val="2EDF3D7C"/>
    <w:rsid w:val="2FFA371C"/>
    <w:rsid w:val="306744D1"/>
    <w:rsid w:val="306C7DC6"/>
    <w:rsid w:val="30926BF3"/>
    <w:rsid w:val="30B25E12"/>
    <w:rsid w:val="31BE298A"/>
    <w:rsid w:val="32E13C63"/>
    <w:rsid w:val="344F3FA7"/>
    <w:rsid w:val="36D86F7C"/>
    <w:rsid w:val="37362EDC"/>
    <w:rsid w:val="38A13306"/>
    <w:rsid w:val="38DA456E"/>
    <w:rsid w:val="398604A7"/>
    <w:rsid w:val="39975BA6"/>
    <w:rsid w:val="3AF1337E"/>
    <w:rsid w:val="3B29666E"/>
    <w:rsid w:val="3BD93F82"/>
    <w:rsid w:val="3D2C6E4B"/>
    <w:rsid w:val="3EB84049"/>
    <w:rsid w:val="3F8F6DDC"/>
    <w:rsid w:val="41412BA9"/>
    <w:rsid w:val="414B092D"/>
    <w:rsid w:val="428B180F"/>
    <w:rsid w:val="42F655C2"/>
    <w:rsid w:val="432A5249"/>
    <w:rsid w:val="445676B7"/>
    <w:rsid w:val="46B1432D"/>
    <w:rsid w:val="4C886703"/>
    <w:rsid w:val="4CAB5636"/>
    <w:rsid w:val="4FF14AF9"/>
    <w:rsid w:val="507C6D9B"/>
    <w:rsid w:val="52A5300F"/>
    <w:rsid w:val="53666540"/>
    <w:rsid w:val="54805E97"/>
    <w:rsid w:val="556B1A5F"/>
    <w:rsid w:val="5AAA024F"/>
    <w:rsid w:val="5B503CBD"/>
    <w:rsid w:val="5DCD170D"/>
    <w:rsid w:val="5DEE5B20"/>
    <w:rsid w:val="5F607ECA"/>
    <w:rsid w:val="60416051"/>
    <w:rsid w:val="60546E99"/>
    <w:rsid w:val="60A74B67"/>
    <w:rsid w:val="60F90299"/>
    <w:rsid w:val="63F11E94"/>
    <w:rsid w:val="63F70CE7"/>
    <w:rsid w:val="659B0B24"/>
    <w:rsid w:val="6B264CFE"/>
    <w:rsid w:val="6DEB50BE"/>
    <w:rsid w:val="70B534C0"/>
    <w:rsid w:val="71A4002C"/>
    <w:rsid w:val="75984140"/>
    <w:rsid w:val="75BE509E"/>
    <w:rsid w:val="7772528F"/>
    <w:rsid w:val="793B5B55"/>
    <w:rsid w:val="7AF516A8"/>
    <w:rsid w:val="7D1909ED"/>
    <w:rsid w:val="7E260B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1.jpe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microsoft.com/office/2007/relationships/hdphoto" Target="media/image8.wdp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2055</Words>
  <Characters>3046</Characters>
  <Lines>0</Lines>
  <Paragraphs>0</Paragraphs>
  <TotalTime>0</TotalTime>
  <ScaleCrop>false</ScaleCrop>
  <LinksUpToDate>false</LinksUpToDate>
  <CharactersWithSpaces>3163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2022-03-28T04:49:00Z</dcterms:created>
  <dc:creator>omicsolution</dc:creator>
  <cp:lastModifiedBy>＄@＃</cp:lastModifiedBy>
  <dcterms:modified xsi:type="dcterms:W3CDTF">2026-06-10T01:10:29Z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79E317123AE1438B9BD600E8977510F0_13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