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F10C7">
      <w:pPr>
        <w:jc w:val="center"/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32"/>
          <w:szCs w:val="32"/>
        </w:rPr>
        <w:t>易肽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>EasyPept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 xml:space="preserve"> PTM</w:t>
      </w:r>
    </w:p>
    <w:p w14:paraId="5BC45377">
      <w:pPr>
        <w:jc w:val="center"/>
        <w:rPr>
          <w:rFonts w:hint="default" w:ascii="Times New Roman" w:hAnsi="Times New Roman" w:eastAsia="微软雅黑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>磷酸化富集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</w:rPr>
        <w:t>试剂盒</w:t>
      </w:r>
    </w:p>
    <w:p w14:paraId="220980B8"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bookmarkStart w:id="4" w:name="_GoBack"/>
      <w:r>
        <w:rPr>
          <w:rFonts w:hint="default" w:ascii="Times New Roman" w:hAnsi="Times New Roman" w:eastAsia="微软雅黑" w:cs="Times New Roman"/>
          <w:lang w:val="en-US" w:eastAsia="zh-CN"/>
        </w:rPr>
        <w:t>货号：OSFP0005</w:t>
      </w:r>
      <w:r>
        <w:rPr>
          <w:rFonts w:hint="eastAsia" w:ascii="Times New Roman" w:hAnsi="Times New Roman" w:eastAsia="微软雅黑" w:cs="Times New Roman"/>
          <w:lang w:val="en-US" w:eastAsia="zh-CN"/>
        </w:rPr>
        <w:t>-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200μg 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lang w:val="en-US" w:eastAsia="zh-CN"/>
        </w:rPr>
        <w:t>规格：</w:t>
      </w:r>
      <w:r>
        <w:rPr>
          <w:rFonts w:hint="eastAsia" w:ascii="Times New Roman" w:hAnsi="Times New Roman" w:eastAsia="微软雅黑" w:cs="Times New Roman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lang w:val="en-US" w:eastAsia="zh-CN"/>
        </w:rPr>
        <w:t>x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版本号：V20260609</w:t>
      </w:r>
    </w:p>
    <w:bookmarkEnd w:id="4"/>
    <w:p w14:paraId="75CC5BB5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试剂盒包含</w:t>
      </w:r>
    </w:p>
    <w:tbl>
      <w:tblPr>
        <w:tblStyle w:val="8"/>
        <w:tblpPr w:leftFromText="180" w:rightFromText="180" w:vertAnchor="text" w:horzAnchor="page" w:tblpX="1798" w:tblpY="579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643"/>
        <w:gridCol w:w="3919"/>
        <w:gridCol w:w="1776"/>
      </w:tblGrid>
      <w:tr w14:paraId="4C0A3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2863A6D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试剂名称</w:t>
            </w:r>
          </w:p>
        </w:tc>
        <w:tc>
          <w:tcPr>
            <w:tcW w:w="883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D80E724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规格</w:t>
            </w:r>
          </w:p>
        </w:tc>
        <w:tc>
          <w:tcPr>
            <w:tcW w:w="2106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46D7B23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简   介</w:t>
            </w:r>
          </w:p>
        </w:tc>
        <w:tc>
          <w:tcPr>
            <w:tcW w:w="95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4593B48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储存条件</w:t>
            </w:r>
          </w:p>
        </w:tc>
      </w:tr>
      <w:tr w14:paraId="1BF80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3FDE550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DF731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color w:val="FDF731"/>
                <w:sz w:val="21"/>
                <w:szCs w:val="21"/>
              </w:rPr>
              <w:t xml:space="preserve"> 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F412C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1C004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裂解液，用于蛋白裂解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B4CDA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728C4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3021AFB8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磷酸酶抑制剂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34DA8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μl*1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756680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蛋白酶抑制剂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392981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lang w:val="en-US" w:eastAsia="zh-CN"/>
              </w:rPr>
              <w:t>4℃</w:t>
            </w:r>
          </w:p>
        </w:tc>
      </w:tr>
      <w:tr w14:paraId="0C7AA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51466903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A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843C0B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542446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bookmarkStart w:id="0" w:name="OLE_LINK2"/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 μl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*1</w:t>
            </w:r>
            <w:bookmarkEnd w:id="0"/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3D59F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还原烷基化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，蛋白质还原烷基化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5A4642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24E46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162FD6B4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B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6D4113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 μl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283A1C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酶，蛋白酶解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06A1E4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6F59D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22C8F454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1AF13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μl*1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02613E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终止试剂，终止酶解反应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C865F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1CA02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059C9D59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Elution Buffer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F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B4292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500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1908FC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除盐时肽段洗脱试剂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69791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2A268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13725B20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bookmarkStart w:id="1" w:name="OLE_LINK4"/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58420</wp:posOffset>
                      </wp:positionV>
                      <wp:extent cx="76200" cy="76200"/>
                      <wp:effectExtent l="4445" t="4445" r="5080" b="5080"/>
                      <wp:wrapNone/>
                      <wp:docPr id="12" name="流程图: 联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2353945" y="5808345"/>
                                <a:ext cx="76200" cy="76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 w="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20" type="#_x0000_t120" style="position:absolute;left:0pt;flip:x;margin-left:78.6pt;margin-top:4.6pt;height:6pt;width:6pt;z-index:251661312;v-text-anchor:middle;mso-width-relative:page;mso-height-relative:page;" fillcolor="#FFFFFF [3212]" filled="t" stroked="t" coordsize="21600,21600" o:gfxdata="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BAKWb7UAAAACAEAAA8AAAAA&#10;AAAAAQAgAAAAIgAAAGRycy9kb3ducmV2LnhtbFBLAQIUABQAAAAIAIdO4kD4N9DCigIAAAcFAAAO&#10;AAAAAAAAAAEAIAAAACMBAABkcnMvZTJvRG9jLnhtbFBLBQYAAAAABgAGAFkBAAAfBgAAAAA=&#10;">
                      <v:fill on="t" focussize="0,0"/>
                      <v:stroke weight="0pt" color="#000000 [3213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Additional Buffer</w:t>
            </w:r>
            <w:bookmarkEnd w:id="1"/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FFFF" w:themeColor="background1"/>
                <w:sz w:val="21"/>
                <w:szCs w:val="21"/>
                <w:shd w:val="clear" w:fill="FFFFFF" w:themeFill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509E2C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500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4876DC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磷酸化富集前补加试剂调整体系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1381BC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7A1BD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4A07CAF4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F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5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2AE6B2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800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3A126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25DDF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28BD8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7F0C5BF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G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E46C0A" w:themeColor="accent6" w:themeShade="B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7D5577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CFBCA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3F8763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53220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82D294B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H1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FFFF" w:themeColor="background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687B64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 μl*1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63264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47E37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42682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41C009C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H2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7030A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77EBF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 μl*1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06908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47CCA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0329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700EF4A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Cartridge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5DB34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 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E0D5D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肽段脱盐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3404CC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36CCE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11BFEAB1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2" w:name="OLE_LINK1"/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EnrichmentTip</w:t>
            </w:r>
            <w:bookmarkEnd w:id="2"/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7759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 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25ACE1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肽段富集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629030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常温避光</w:t>
            </w:r>
          </w:p>
        </w:tc>
      </w:tr>
      <w:tr w14:paraId="20987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5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1B3F2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Adaptor</w:t>
            </w:r>
          </w:p>
        </w:tc>
        <w:tc>
          <w:tcPr>
            <w:tcW w:w="1643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06764D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3919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139CA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EnrichmentTip适配器</w:t>
            </w:r>
          </w:p>
        </w:tc>
        <w:tc>
          <w:tcPr>
            <w:tcW w:w="1776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1B2A2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</w:tbl>
    <w:p w14:paraId="4DC45513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试剂盒简介</w:t>
      </w:r>
    </w:p>
    <w:p w14:paraId="3094BB17">
      <w:pPr>
        <w:jc w:val="left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样品制备是蛋白质组学实验最重要的步骤之一，合适的前处理过程是实验成功的关键。尤其翻译后修饰组学，由于含量低、不稳定的特性，对样本的保存、制备条件要求更为严格。</w:t>
      </w:r>
    </w:p>
    <w:p w14:paraId="36B10064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易肽EasyPept</w:t>
      </w:r>
      <w:r>
        <w:rPr>
          <w:rFonts w:hint="default" w:ascii="Times New Roman" w:hAnsi="Times New Roman" w:eastAsia="微软雅黑" w:cs="Times New Roman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 PTM磷酸化富集试剂盒旨在以较低的样本初始量、较少的样品制备步骤和较短的操作时间获得最佳的实验结果。适用于组织、细胞等样本类型，尤其对于大队列样本的制备过程充分体现出其高通量、高稳健性的优势。该试剂盒提供磷酸化多肽制备包括蛋白变性、还原烷基化、蛋白酶解、肽段脱盐以及肽段富集过程的相关试剂。基于溶液内快速酶解的前处理方法，解决了传统方法样本用量多、试剂成本高、损失大、耗时长的弊端，仅需2-3小时即可完成肽段制备的步骤，且平行性好。基于离心式的肽段富集过程，操作简便，仅需0.5h即可完成肽段富集，以实现微量磷酸化肽段的快速制备及深度覆盖检测。</w:t>
      </w:r>
    </w:p>
    <w:p w14:paraId="0F66978E">
      <w:pPr>
        <w:pStyle w:val="2"/>
        <w:bidi w:val="0"/>
        <w:spacing w:before="0" w:after="0"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68975" cy="2768600"/>
            <wp:effectExtent l="0" t="0" r="0" b="0"/>
            <wp:docPr id="1" name="图片 1" descr="OSFP-0005不抽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SFP-0005不抽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339AE">
      <w:pPr>
        <w:jc w:val="left"/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</w:pPr>
    </w:p>
    <w:p w14:paraId="745D97EB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需要准备的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设备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耗材</w:t>
      </w:r>
    </w:p>
    <w:p w14:paraId="3C927AD8">
      <w:pPr>
        <w:numPr>
          <w:ilvl w:val="0"/>
          <w:numId w:val="0"/>
        </w:numPr>
        <w:spacing w:line="240" w:lineRule="auto"/>
        <w:ind w:leftChars="0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3.1设备</w:t>
      </w: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413"/>
        <w:gridCol w:w="6060"/>
      </w:tblGrid>
      <w:tr w14:paraId="46AFF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84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4090F37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759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796737D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6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7ADAD49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简    介</w:t>
            </w:r>
          </w:p>
        </w:tc>
      </w:tr>
      <w:tr w14:paraId="445EE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97D142C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移液器</w:t>
            </w:r>
          </w:p>
        </w:tc>
        <w:tc>
          <w:tcPr>
            <w:tcW w:w="759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8C0D847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381000" cy="495300"/>
                  <wp:effectExtent l="0" t="0" r="0" b="7620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3B9850B9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吸取蛋白提取过程中的蛋白上清，减少污染物，提高蛋白定量准确度</w:t>
            </w:r>
          </w:p>
        </w:tc>
      </w:tr>
      <w:tr w14:paraId="7E244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76623746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恒温混匀仪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374F399C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609600" cy="508000"/>
                  <wp:effectExtent l="0" t="0" r="0" b="10160"/>
                  <wp:docPr id="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4379DC87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提供95℃及37℃的恒温条件，促进蛋白质的裂解与酶解</w:t>
            </w:r>
          </w:p>
        </w:tc>
      </w:tr>
      <w:tr w14:paraId="3DD90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492BB8F1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高通量组织研磨仪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6B4CE922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drawing>
                <wp:inline distT="0" distB="0" distL="114300" distR="114300">
                  <wp:extent cx="407670" cy="542290"/>
                  <wp:effectExtent l="0" t="0" r="1905" b="635"/>
                  <wp:docPr id="160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 trans="30000" detail="2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8111" t="15067" r="30556" b="11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" cy="54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2398DFA7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不同组织样本的破碎，抽提蛋白质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instrText xml:space="preserve"> HYPERLINK "https://mp.weixin.qq.com/s/P_2KMzSH53Wlp3PFZfqA-w" </w:instrTex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separate"/>
            </w:r>
            <w:r>
              <w:rPr>
                <w:rStyle w:val="11"/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推荐使用PreOmics Beatbox高通量组织研磨仪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19A82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1AE599A4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冷冻/常温离心机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58D37F2A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533400" cy="723900"/>
                  <wp:effectExtent l="0" t="0" r="0" b="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39E40372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</w:rPr>
              <w:t>冷冻离心机用于蛋白提取，常温离心机用于肽段脱盐，适配器支持1.5/2ml离心管</w:t>
            </w:r>
          </w:p>
        </w:tc>
      </w:tr>
      <w:tr w14:paraId="55FB7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84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C30C4A4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t>真空离心浓缩仪</w:t>
            </w:r>
          </w:p>
        </w:tc>
        <w:tc>
          <w:tcPr>
            <w:tcW w:w="759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43F8823C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drawing>
                <wp:inline distT="0" distB="0" distL="114300" distR="114300">
                  <wp:extent cx="759460" cy="937895"/>
                  <wp:effectExtent l="0" t="0" r="2540" b="698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48DDC75">
            <w:pPr>
              <w:spacing w:line="240" w:lineRule="auto"/>
              <w:jc w:val="left"/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脱盐后的肽段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干燥</w:t>
            </w:r>
          </w:p>
        </w:tc>
      </w:tr>
    </w:tbl>
    <w:p w14:paraId="1F165A56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3.2 试剂</w:t>
      </w:r>
    </w:p>
    <w:p w14:paraId="7DE8CE01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Trifluoroacetic acid (TFA)  </w:t>
      </w:r>
    </w:p>
    <w:p w14:paraId="27E0852C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Acetonitrile (ACN), LC-MS Grade </w:t>
      </w:r>
    </w:p>
    <w:p w14:paraId="03782F75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Water, LC-MS Grade  </w:t>
      </w:r>
    </w:p>
    <w:p w14:paraId="46F236F6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Methanol (MeOH), Optima™ LC-MS Grade </w:t>
      </w:r>
    </w:p>
    <w:p w14:paraId="27A64E4F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Low Protein Binding Microcentrifuge Tubes, 2.0 mL/1.5mL</w:t>
      </w:r>
    </w:p>
    <w:p w14:paraId="75704147">
      <w:pPr>
        <w:widowControl/>
        <w:spacing w:line="24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</w:p>
    <w:p w14:paraId="78551CE2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4. 试剂准备</w:t>
      </w:r>
    </w:p>
    <w:p w14:paraId="5B4BB14D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Condition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70%ACN，0.2%TFA，每个样本需要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298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μl超纯水和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700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μl无水乙腈中，混匀；</w:t>
      </w:r>
    </w:p>
    <w:p w14:paraId="4B4ACF30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Wash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2.994m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l超纯水，混匀；</w:t>
      </w:r>
    </w:p>
    <w:p w14:paraId="1AB65847">
      <w:pPr>
        <w:spacing w:line="240" w:lineRule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 操作过程</w:t>
      </w:r>
    </w:p>
    <w:p w14:paraId="6FF60193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.1 蛋白提取</w:t>
      </w:r>
    </w:p>
    <w:p w14:paraId="6E684C1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试剂0使用前按照1:100（磷酸酶抑制剂：试剂0）加入磷酸酶抑制剂；</w:t>
      </w:r>
    </w:p>
    <w:p w14:paraId="2C74AB2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对于细胞样本，细胞沉淀中加入适量试剂 0（参考体积比，细胞沉淀：试剂0约 1:5）涡旋混匀，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200μl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枪头反复吹打15-20次，然后95℃加热5min（95℃，1000 rpm）；</w:t>
      </w:r>
    </w:p>
    <w:p w14:paraId="477B81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/>
        <w:textAlignment w:val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注：样品出现粘稠时使用超声波细胞破碎仪冰上超声2 min （25-30Hz ,每10s停10s）或者金属浴95℃加热10min；</w:t>
      </w:r>
    </w:p>
    <w:p w14:paraId="04B053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对于组织样本，取适量组织样品加入试剂0（按1：8的比例加入试剂0，即25mg组织加入200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试剂0），高通量组织研磨仪震荡研磨3次，然后95℃加热5min（95℃，1000 rpm）；</w:t>
      </w:r>
    </w:p>
    <w:p w14:paraId="0B5AF08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4℃，1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 离心 20min，取上清；</w:t>
      </w:r>
    </w:p>
    <w:p w14:paraId="2B62AE8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上清进行 BCA 蛋白定量；</w:t>
      </w:r>
    </w:p>
    <w:p w14:paraId="16BADBB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根据定量结果，建议取300μg 蛋白样品进行后续操作。</w:t>
      </w:r>
    </w:p>
    <w:p w14:paraId="64D26A09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蛋白酶解</w:t>
      </w:r>
    </w:p>
    <w:p w14:paraId="662DFC7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步骤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.1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e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中得到的蛋白溶液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（建议总体积不超过60μl，如果体积小于60μl，再补加试剂0至总终体积为60μl）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依次加入新的EP管中，分别补加试剂A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 μl，吹打混匀，95℃加热5min（95℃，1000 rpm）；</w:t>
      </w:r>
    </w:p>
    <w:p w14:paraId="51C399E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加热结束待样品恢复至室温后，每个样本中加入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 μl试剂B，混匀，37℃酶解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2H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℃，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1000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rpm）；</w:t>
      </w:r>
    </w:p>
    <w:p w14:paraId="16185B5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酶解结束后每孔加入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25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 μl试剂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，混匀，终止酶解反应，此时会有沉淀出现，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14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000g离心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min吸取上清后再进行后续脱盐。</w:t>
      </w:r>
    </w:p>
    <w:p w14:paraId="153C898D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.3 肽段脱盐</w:t>
      </w:r>
    </w:p>
    <w:p w14:paraId="1775C10C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bookmarkStart w:id="3" w:name="OLE_LINK3"/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脱盐柱活化：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00μl甲醇加入到脱盐柱中，700g离心1min；</w:t>
      </w:r>
    </w:p>
    <w:p w14:paraId="1222EA6B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脱盐柱去杂质：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Condition buffer加入到脱盐柱中，700g离心1min；</w:t>
      </w:r>
    </w:p>
    <w:p w14:paraId="77AC3F63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脱盐柱平衡：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buffer加入到脱盐柱中，700g离心1min；</w:t>
      </w:r>
    </w:p>
    <w:p w14:paraId="1D8CBED8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加载样本：将样本全部加载到脱盐柱中，700g离心1min，重复操作一次；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（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加载样本前确保pH &lt; 3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，可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使用20%TFA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调pH＜3后加载样本）</w:t>
      </w:r>
    </w:p>
    <w:p w14:paraId="3C1898AB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脱盐柱清洗：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buffer加入到脱盐柱中，700g离心1min，重复操作一次；</w:t>
      </w:r>
    </w:p>
    <w:p w14:paraId="55015630">
      <w:pPr>
        <w:widowControl/>
        <w:numPr>
          <w:ilvl w:val="0"/>
          <w:numId w:val="5"/>
        </w:numPr>
        <w:spacing w:line="240" w:lineRule="auto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样本洗脱：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将除盐柱转移到新的离心管中，5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 Elution buffer加入到脱盐柱中，700g离心1min，洗脱两次，最终样本体积为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0μl。</w:t>
      </w:r>
    </w:p>
    <w:bookmarkEnd w:id="3"/>
    <w:p w14:paraId="19D03050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肽段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富集</w:t>
      </w:r>
    </w:p>
    <w:p w14:paraId="0006A255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将EnrichmentTip（富集柱）插入Adaptor上置于2ml离心管中；</w:t>
      </w:r>
    </w:p>
    <w:p w14:paraId="1EA3847C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0μl </w:t>
      </w:r>
      <w:r>
        <w:rPr>
          <w:rFonts w:hint="eastAsia" w:ascii="Times New Roman" w:hAnsi="Times New Roman" w:eastAsia="微软雅黑" w:cs="Times New Roman"/>
          <w:sz w:val="21"/>
          <w:szCs w:val="21"/>
          <w:lang w:val="en-US" w:eastAsia="zh-CN"/>
        </w:rPr>
        <w:t>Additional Buffer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.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2f洗脱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的肽段中，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涡旋混匀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7471AEF4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19AAB1DC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000g离心1min，弃掉流穿液；</w:t>
      </w:r>
    </w:p>
    <w:p w14:paraId="608BDE57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将放有EnrichmentTip（富集柱）的Adaptor转移至新的2ml离心管中；</w:t>
      </w:r>
    </w:p>
    <w:p w14:paraId="6F78E38C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加载样本：将样本全部加载到富集柱中，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000g离心5min，流穿液重复过柱一次；</w:t>
      </w:r>
    </w:p>
    <w:p w14:paraId="794A2E9C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4E7C7181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312BFF18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020AD1EE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1188492B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LC-MS水加入到EnrichmentTip（富集柱）中，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6B6F200D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将放有EnrichmentTip（富集柱）的Adaptor转移至新的EP管中（建议采用低吸附离心管）；</w:t>
      </w:r>
    </w:p>
    <w:p w14:paraId="35B6FC27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样本洗脱：50μl 试剂H1加入到EnrichmentTip（富集柱）中，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000g离心5min；</w:t>
      </w:r>
    </w:p>
    <w:p w14:paraId="5A284B18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样本洗脱：50μl 试剂H2加入到EnrichmentTip（富集柱）中，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000g离心5min；</w:t>
      </w:r>
    </w:p>
    <w:p w14:paraId="0CBD942F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真空离心浓缩仪浓缩样本（建议&lt; 30℃）。</w:t>
      </w:r>
    </w:p>
    <w:p w14:paraId="0BD52978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 注意事项</w:t>
      </w:r>
    </w:p>
    <w:p w14:paraId="54EEBD46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试剂0和试剂A低温下会析出，建议使用前置于水浴锅中（37-50℃）放置10min，待结晶重新溶解后混合均匀使用；</w:t>
      </w:r>
    </w:p>
    <w:p w14:paraId="01FD049D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3410222D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酶解结束后加入试剂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有沉淀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出现属于正常情况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可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高速离心后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再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进行后续实验；</w:t>
      </w:r>
    </w:p>
    <w:p w14:paraId="34F6728D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样本比较难消化酶解时可适当加长酶解时间；</w:t>
      </w:r>
    </w:p>
    <w:p w14:paraId="216D6933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酶解后样本如不能及时进行后续脱盐处理，可-80℃存放2周；</w:t>
      </w:r>
    </w:p>
    <w:p w14:paraId="09C115D4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9"/>
        <w:gridCol w:w="2640"/>
      </w:tblGrid>
      <w:tr w14:paraId="244F0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539" w:type="dxa"/>
            <w:noWrap w:val="0"/>
            <w:vAlign w:val="top"/>
          </w:tcPr>
          <w:p w14:paraId="6C1A05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666115" cy="666115"/>
                  <wp:effectExtent l="0" t="0" r="4445" b="4445"/>
                  <wp:docPr id="6" name="图片 10" descr="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0" descr="cod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noWrap w:val="0"/>
            <w:vAlign w:val="center"/>
          </w:tcPr>
          <w:p w14:paraId="5E34920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官方网站：</w:t>
            </w:r>
            <w:r>
              <w:rPr>
                <w:rStyle w:val="10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www.omicsolution.com</w:t>
            </w:r>
          </w:p>
          <w:p w14:paraId="3DE3B5B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若有任何疑问，欢迎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发送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邮件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：</w:t>
            </w:r>
          </w:p>
          <w:p w14:paraId="4CE8549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support@omicsolution.com</w:t>
            </w:r>
          </w:p>
        </w:tc>
      </w:tr>
    </w:tbl>
    <w:p w14:paraId="48ADEC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327" w:right="1406" w:bottom="1157" w:left="1406" w:header="851" w:footer="90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6A01C">
    <w:pPr>
      <w:pStyle w:val="4"/>
      <w:rPr>
        <w:rFonts w:hint="eastAsia"/>
        <w:lang w:eastAsia="zh-CN"/>
      </w:rPr>
    </w:pPr>
    <w:r>
      <w:rPr>
        <w:rFonts w:hint="eastAsia" w:ascii="微软雅黑" w:hAnsi="微软雅黑" w:eastAsia="微软雅黑" w:cs="微软雅黑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635</wp:posOffset>
          </wp:positionH>
          <wp:positionV relativeFrom="page">
            <wp:posOffset>9482455</wp:posOffset>
          </wp:positionV>
          <wp:extent cx="7566660" cy="1215390"/>
          <wp:effectExtent l="0" t="0" r="5715" b="3810"/>
          <wp:wrapNone/>
          <wp:docPr id="8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 flipV="1">
                    <a:off x="0" y="0"/>
                    <a:ext cx="7566660" cy="1215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2595245</wp:posOffset>
              </wp:positionH>
              <wp:positionV relativeFrom="paragraph">
                <wp:posOffset>99060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E77B7A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35pt;margin-top:7.8pt;height:144pt;width:144pt;mso-position-horizontal-relative:margin;mso-wrap-style:none;z-index:251662336;mso-width-relative:page;mso-height-relative:page;" filled="f" stroked="f" coordsize="21600,21600" o:gfxdata="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BoPKC1wAAAAoBAAAPAAAAAAAAAAEAIAAAACIAAABkcnMvZG93bnJl&#10;di54bWxQSwECFAAUAAAACACHTuJAe3NDNTcCAABx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E77B7A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888E5">
    <w:pPr>
      <w:pStyle w:val="5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-1270</wp:posOffset>
          </wp:positionH>
          <wp:positionV relativeFrom="page">
            <wp:posOffset>-10160</wp:posOffset>
          </wp:positionV>
          <wp:extent cx="7562215" cy="1357630"/>
          <wp:effectExtent l="0" t="0" r="635" b="4445"/>
          <wp:wrapNone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911860"/>
          <wp:effectExtent l="1487170" t="0" r="1548130" b="0"/>
          <wp:wrapNone/>
          <wp:docPr id="9" name="WordPictureWatermark396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PictureWatermark39663" descr="logo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91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A7489"/>
    <w:multiLevelType w:val="singleLevel"/>
    <w:tmpl w:val="842A748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7E1CEB6"/>
    <w:multiLevelType w:val="singleLevel"/>
    <w:tmpl w:val="B7E1CEB6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CE045B9A"/>
    <w:multiLevelType w:val="singleLevel"/>
    <w:tmpl w:val="CE045B9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D0856594"/>
    <w:multiLevelType w:val="singleLevel"/>
    <w:tmpl w:val="D085659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661BB288"/>
    <w:multiLevelType w:val="singleLevel"/>
    <w:tmpl w:val="661BB28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mJmZWM4N2NmNzM0ODc5NTJkMGZhNzZhNmI2ZDgifQ=="/>
    <w:docVar w:name="KSO_WPS_MARK_KEY" w:val="44ac61ed-281a-4f3c-9e2e-710448bd1d45"/>
  </w:docVars>
  <w:rsids>
    <w:rsidRoot w:val="00000000"/>
    <w:rsid w:val="01F0103B"/>
    <w:rsid w:val="05343BC0"/>
    <w:rsid w:val="06314672"/>
    <w:rsid w:val="06F64D17"/>
    <w:rsid w:val="08BB636A"/>
    <w:rsid w:val="0AAD3926"/>
    <w:rsid w:val="0DBF2128"/>
    <w:rsid w:val="10D17E68"/>
    <w:rsid w:val="11EA4C32"/>
    <w:rsid w:val="121C0AD1"/>
    <w:rsid w:val="127D4BC7"/>
    <w:rsid w:val="13AC0DFB"/>
    <w:rsid w:val="157775EA"/>
    <w:rsid w:val="15B862A6"/>
    <w:rsid w:val="16157A01"/>
    <w:rsid w:val="17072325"/>
    <w:rsid w:val="17E80746"/>
    <w:rsid w:val="1B705904"/>
    <w:rsid w:val="1BAF4D2D"/>
    <w:rsid w:val="1D2737FF"/>
    <w:rsid w:val="1E112B2E"/>
    <w:rsid w:val="1E3713F6"/>
    <w:rsid w:val="1EB33076"/>
    <w:rsid w:val="1EFC5E1C"/>
    <w:rsid w:val="1FBD73A3"/>
    <w:rsid w:val="20723F75"/>
    <w:rsid w:val="222A5F67"/>
    <w:rsid w:val="239D478B"/>
    <w:rsid w:val="28101DD7"/>
    <w:rsid w:val="2AA913D2"/>
    <w:rsid w:val="2BCC070B"/>
    <w:rsid w:val="2C7E2503"/>
    <w:rsid w:val="2C9B2284"/>
    <w:rsid w:val="2EDF3D7C"/>
    <w:rsid w:val="2FFA371C"/>
    <w:rsid w:val="306744D1"/>
    <w:rsid w:val="306C7DC6"/>
    <w:rsid w:val="30926BF3"/>
    <w:rsid w:val="30B25E12"/>
    <w:rsid w:val="31BE298A"/>
    <w:rsid w:val="32E13C63"/>
    <w:rsid w:val="344F3FA7"/>
    <w:rsid w:val="36D86F7C"/>
    <w:rsid w:val="38A13306"/>
    <w:rsid w:val="38DA456E"/>
    <w:rsid w:val="39975BA6"/>
    <w:rsid w:val="3AF1337E"/>
    <w:rsid w:val="3B29666E"/>
    <w:rsid w:val="3BD93F82"/>
    <w:rsid w:val="3D2C6E4B"/>
    <w:rsid w:val="3F8F6DDC"/>
    <w:rsid w:val="41412BA9"/>
    <w:rsid w:val="414B092D"/>
    <w:rsid w:val="428B180F"/>
    <w:rsid w:val="42F655C2"/>
    <w:rsid w:val="432A5249"/>
    <w:rsid w:val="4B321960"/>
    <w:rsid w:val="4C886703"/>
    <w:rsid w:val="4CAB5636"/>
    <w:rsid w:val="4FF14AF9"/>
    <w:rsid w:val="507C6D9B"/>
    <w:rsid w:val="51FE2141"/>
    <w:rsid w:val="52A5300F"/>
    <w:rsid w:val="52D67214"/>
    <w:rsid w:val="53666540"/>
    <w:rsid w:val="54805E97"/>
    <w:rsid w:val="596671F9"/>
    <w:rsid w:val="5AAA024F"/>
    <w:rsid w:val="5DCD170D"/>
    <w:rsid w:val="5DFB736C"/>
    <w:rsid w:val="5F607ECA"/>
    <w:rsid w:val="60416051"/>
    <w:rsid w:val="60546E99"/>
    <w:rsid w:val="60A74B67"/>
    <w:rsid w:val="60F90299"/>
    <w:rsid w:val="61094D17"/>
    <w:rsid w:val="62607282"/>
    <w:rsid w:val="63F11E94"/>
    <w:rsid w:val="63F70CE7"/>
    <w:rsid w:val="659B0B24"/>
    <w:rsid w:val="6DEB50BE"/>
    <w:rsid w:val="70B534C0"/>
    <w:rsid w:val="71A4002C"/>
    <w:rsid w:val="75BE509E"/>
    <w:rsid w:val="7AF516A8"/>
    <w:rsid w:val="7D1909ED"/>
    <w:rsid w:val="7E260B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1.jpe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microsoft.com/office/2007/relationships/hdphoto" Target="media/image8.wdp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2047</Words>
  <Characters>3039</Characters>
  <Lines>0</Lines>
  <Paragraphs>0</Paragraphs>
  <TotalTime>9</TotalTime>
  <ScaleCrop>false</ScaleCrop>
  <LinksUpToDate>false</LinksUpToDate>
  <CharactersWithSpaces>3151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2022-03-28T04:49:00Z</dcterms:created>
  <dc:creator>omicsolution</dc:creator>
  <cp:lastModifiedBy>＄@＃</cp:lastModifiedBy>
  <dcterms:modified xsi:type="dcterms:W3CDTF">2026-06-10T01:07:04Z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C40BC5007E264976AC57E027114CF52D_13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