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F10C7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5BC45377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磷酸化富集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试剂盒</w:t>
      </w:r>
    </w:p>
    <w:p w14:paraId="4553B5A0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货号：OSFP0005</w:t>
      </w:r>
      <w:r>
        <w:rPr>
          <w:rFonts w:hint="eastAsia" w:ascii="Times New Roman" w:hAnsi="Times New Roman" w:eastAsia="微软雅黑" w:cs="Times New Roman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200μg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8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p w14:paraId="75CC5BB5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643"/>
        <w:gridCol w:w="3919"/>
        <w:gridCol w:w="1776"/>
      </w:tblGrid>
      <w:tr w14:paraId="4C0A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863A6D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83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80E724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10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6D7B23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95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593B48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1BF8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3FDE55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F412C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C004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B4CD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28C4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3021AFB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磷酸酶抑制剂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34DA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75668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蛋白酶抑制剂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9298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lang w:val="en-US" w:eastAsia="zh-CN"/>
              </w:rPr>
              <w:t>4℃</w:t>
            </w:r>
          </w:p>
        </w:tc>
      </w:tr>
      <w:tr w14:paraId="0C7A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146690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42446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bookmarkStart w:id="0" w:name="OLE_LINK2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</w:t>
            </w:r>
            <w:bookmarkEnd w:id="0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3D59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还原烷基化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，蛋白质还原烷基化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5A464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24E46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62FD6B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D4113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283A1C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06A1E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6F59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2C8F45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AF13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02613E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C865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CA02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59C9D5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Elution Buffer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B4292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500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908FC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除盐时肽段洗脱试剂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6979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A268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3725B2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bookmarkStart w:id="1" w:name="OLE_LINK4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58420</wp:posOffset>
                      </wp:positionV>
                      <wp:extent cx="76200" cy="76200"/>
                      <wp:effectExtent l="4445" t="4445" r="5080" b="5080"/>
                      <wp:wrapNone/>
                      <wp:docPr id="12" name="流程图: 联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2353945" y="5808345"/>
                                <a:ext cx="7620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20" type="#_x0000_t120" style="position:absolute;left:0pt;flip:x;margin-left:78.6pt;margin-top:4.6pt;height:6pt;width:6pt;z-index:251661312;v-text-anchor:middle;mso-width-relative:page;mso-height-relative:page;" fillcolor="#FFFFFF [3212]" filled="t" stroked="t" coordsize="21600,21600" o:gfxdata="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AKWb7UAAAACAEAAA8AAAAA&#10;AAAAAQAgAAAAIgAAAGRycy9kb3ducmV2LnhtbFBLAQIUABQAAAAIAIdO4kD4N9DCigIAAAcFAAAO&#10;AAAAAAAAAAEAIAAAACMBAABkcnMvZTJvRG9jLnhtbFBLBQYAAAAABgAGAFkBAAAfBgAAAAA=&#10;">
                      <v:fill on="t" focussize="0,0"/>
                      <v:stroke weight="0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Additional Buffer</w:t>
            </w:r>
            <w:bookmarkEnd w:id="1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shd w:val="clear" w:fill="FFFFFF" w:themeFill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09E2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500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4876DC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磷酸化富集前补加试剂调整体系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1381B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A1B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4A07CAF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AE6B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800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3A12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25DD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8BD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7F0C5BF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G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D557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CFBCA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F8763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322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82D294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H1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87B6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63264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7E37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4268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41C009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H2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7030A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7EBF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0690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7CCA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0329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700EF4A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DB34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E0D5D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404C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6CC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1BFEAB1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2"/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759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25ACE1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2903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2098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1B3F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Adaptor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6764D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91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139C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  <w:bookmarkStart w:id="4" w:name="_GoBack"/>
            <w:bookmarkEnd w:id="4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\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EnrichmentTip适配器</w:t>
            </w:r>
          </w:p>
        </w:tc>
        <w:tc>
          <w:tcPr>
            <w:tcW w:w="177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1B2A2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</w:tbl>
    <w:p w14:paraId="4DC45513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</w:p>
    <w:p w14:paraId="3094BB17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36B10064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易肽EasyPept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PTM磷酸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磷酸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仅需0.5h即可完成肽段富集，以实现微量磷酸化肽段的快速制备及深度覆盖检测。</w:t>
      </w:r>
    </w:p>
    <w:p w14:paraId="0F66978E">
      <w:pPr>
        <w:pStyle w:val="2"/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8975" cy="2768600"/>
            <wp:effectExtent l="0" t="0" r="0" b="0"/>
            <wp:docPr id="1" name="图片 1" descr="OSFP-0005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-0005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339AE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</w:p>
    <w:p w14:paraId="745D97E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耗材</w:t>
      </w:r>
    </w:p>
    <w:p w14:paraId="3C927AD8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3.1设备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46AFF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4090F37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796737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7ADAD4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445E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97D142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8C0D84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3B9850B9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7E24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76623746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374F399C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4379DC87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3DD90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492BB8F1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B4CE922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407670" cy="542290"/>
                  <wp:effectExtent l="0" t="0" r="1905" b="63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5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2398DFA7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instrText xml:space="preserve"> HYPERLINK "https://mp.weixin.qq.com/s/P_2KMzSH53Wlp3PFZfqA-w" </w:instrTex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推荐使用PreOmics Beatbox高通量组织研磨仪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19A8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1AE599A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8D37F2A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9E40372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55FB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C30C4A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3F8823C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48DDC75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F165A5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7DE8CE01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27E0852C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03782F75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46F236F6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27A64E4F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75704147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78551CE2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5B4BB14D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298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700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μl无水乙腈中，混匀；</w:t>
      </w:r>
    </w:p>
    <w:p w14:paraId="4B4ACF3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5.988m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1AB65847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6FF60193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.1 蛋白提取</w:t>
      </w:r>
    </w:p>
    <w:p w14:paraId="6E684C1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试剂0使用前按照1:100（磷酸酶抑制剂：试剂0）加入磷酸酶抑制剂；</w:t>
      </w:r>
    </w:p>
    <w:p w14:paraId="2C74AB2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对于细胞样本，细胞沉淀中加入适量试剂 0（参考体积比，细胞沉淀：试剂0约 1:5）涡旋混匀，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枪头反复吹打15-20次，然后95℃加热5min（95℃，1000 rpm）；</w:t>
      </w:r>
    </w:p>
    <w:p w14:paraId="477B8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注：样品出现粘稠时使用超声波细胞破碎仪冰上超声2 min （25-30Hz ,每10s停10s）或者金属浴95℃加热10min；</w:t>
      </w:r>
    </w:p>
    <w:p w14:paraId="04B05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试剂0），高通量组织研磨仪震荡研磨3次，然后95℃加热5min（95℃，1000 rpm）；</w:t>
      </w:r>
    </w:p>
    <w:p w14:paraId="0B5AF0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4℃，12000g 离心 20min，取上清；</w:t>
      </w:r>
    </w:p>
    <w:p w14:paraId="2B62AE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16BADBB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根据定量结果，建议取300μg 蛋白样品进行后续操作。</w:t>
      </w:r>
    </w:p>
    <w:p w14:paraId="64D26A09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662DFC7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.1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中得到的蛋白溶液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（建议总体积不超过60μl，如果体积小于60μl，再补加试剂0至总终体积为60μl）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依次加入新的EP管中，分别补加试剂A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μl，吹打混匀，95℃加热5min（95℃，1000 rpm）；</w:t>
      </w:r>
    </w:p>
    <w:p w14:paraId="51C399E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加热结束待样品恢复至室温后，每个样本中加入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μl试剂B，混匀，37℃酶解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rpm）；</w:t>
      </w:r>
    </w:p>
    <w:p w14:paraId="16185B5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酶解结束后每孔加入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μl试剂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，混匀，终止酶解反应，此时会有沉淀出现，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16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min吸取上清后再进行后续脱盐。</w:t>
      </w:r>
    </w:p>
    <w:p w14:paraId="153C898D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1775C10C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3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1222EA6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77AC3F63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1D8CBED8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3C1898A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55015630">
      <w:pPr>
        <w:widowControl/>
        <w:numPr>
          <w:ilvl w:val="0"/>
          <w:numId w:val="5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 Elution buffer加入到脱盐柱中，700g离心1min，洗脱两次，最终样本体积为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0μl。</w:t>
      </w:r>
    </w:p>
    <w:bookmarkEnd w:id="3"/>
    <w:p w14:paraId="19D03050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0006A255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将EnrichmentTip（富集柱）插入Adaptor上置于2ml离心管中；</w:t>
      </w:r>
    </w:p>
    <w:p w14:paraId="1EA3847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sz w:val="21"/>
          <w:szCs w:val="21"/>
          <w:lang w:val="en-US" w:eastAsia="zh-CN"/>
        </w:rPr>
        <w:t>Additional Buffer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2f洗脱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的肽段中，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涡旋混匀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7471AEF4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9AAB1D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000g离心1min，弃掉流穿液；</w:t>
      </w:r>
    </w:p>
    <w:p w14:paraId="608BDE57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将放有EnrichmentTip（富集柱）的Adaptor转移至新的2ml离心管中；</w:t>
      </w:r>
    </w:p>
    <w:p w14:paraId="6F78E38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000g离心5min，流穿液重复过柱一次；</w:t>
      </w:r>
    </w:p>
    <w:p w14:paraId="794A2E9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4E7C7181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312BFF1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020AD1EE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188492B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LC-MS水加入到EnrichmentTip（富集柱）中，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B6F200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将放有EnrichmentTip（富集柱）的Adaptor转移至新的EP管中（建议采用低吸附离心管）；</w:t>
      </w:r>
    </w:p>
    <w:p w14:paraId="35B6FC27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试剂H1加入到EnrichmentTip（富集柱）中，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5A284B1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试剂H2加入到EnrichmentTip（富集柱）中，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0CBD942F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0BD52978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54EEBD46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试剂0和试剂A低温下会析出，建议使用前置于水浴锅中（37-50℃）放置10min，待结晶重新溶解后混合均匀使用；</w:t>
      </w:r>
    </w:p>
    <w:p w14:paraId="01FD049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3410222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出现属于正常情况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进行后续实验；</w:t>
      </w:r>
    </w:p>
    <w:p w14:paraId="34F6728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216D6933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酶解后样本如不能及时进行后续脱盐处理，可-80℃存放2周；</w:t>
      </w:r>
    </w:p>
    <w:p w14:paraId="09C115D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9"/>
        <w:gridCol w:w="2640"/>
      </w:tblGrid>
      <w:tr w14:paraId="244F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539" w:type="dxa"/>
            <w:noWrap w:val="0"/>
            <w:vAlign w:val="top"/>
          </w:tcPr>
          <w:p w14:paraId="6C1A05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noWrap w:val="0"/>
            <w:vAlign w:val="center"/>
          </w:tcPr>
          <w:p w14:paraId="5E34920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3DE3B5B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4CE854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48ADEC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A01C">
    <w:pPr>
      <w:pStyle w:val="4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9482455</wp:posOffset>
          </wp:positionV>
          <wp:extent cx="7566660" cy="1215390"/>
          <wp:effectExtent l="0" t="0" r="5715" b="381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6660" cy="121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E77B7A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77B7A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888E5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-10160</wp:posOffset>
          </wp:positionV>
          <wp:extent cx="7562215" cy="1357630"/>
          <wp:effectExtent l="0" t="0" r="635" b="4445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E1CEB6"/>
    <w:multiLevelType w:val="singleLevel"/>
    <w:tmpl w:val="B7E1CEB6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61BB288"/>
    <w:multiLevelType w:val="singleLevel"/>
    <w:tmpl w:val="661BB28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44ac61ed-281a-4f3c-9e2e-710448bd1d45"/>
  </w:docVars>
  <w:rsids>
    <w:rsidRoot w:val="00000000"/>
    <w:rsid w:val="01F0103B"/>
    <w:rsid w:val="05343BC0"/>
    <w:rsid w:val="06314672"/>
    <w:rsid w:val="08BB636A"/>
    <w:rsid w:val="0AAD3926"/>
    <w:rsid w:val="0DBF2128"/>
    <w:rsid w:val="10D17E68"/>
    <w:rsid w:val="11EA4C32"/>
    <w:rsid w:val="121C0AD1"/>
    <w:rsid w:val="127D4BC7"/>
    <w:rsid w:val="13AC0DFB"/>
    <w:rsid w:val="157775EA"/>
    <w:rsid w:val="15B862A6"/>
    <w:rsid w:val="17E80746"/>
    <w:rsid w:val="1B705904"/>
    <w:rsid w:val="1BAF4D2D"/>
    <w:rsid w:val="1D2737FF"/>
    <w:rsid w:val="1E112B2E"/>
    <w:rsid w:val="1E3713F6"/>
    <w:rsid w:val="1EB33076"/>
    <w:rsid w:val="1EFC5E1C"/>
    <w:rsid w:val="20723F75"/>
    <w:rsid w:val="222A5F67"/>
    <w:rsid w:val="239D478B"/>
    <w:rsid w:val="2AA913D2"/>
    <w:rsid w:val="2C7E2503"/>
    <w:rsid w:val="2C9B2284"/>
    <w:rsid w:val="2EDF3D7C"/>
    <w:rsid w:val="2F560A17"/>
    <w:rsid w:val="2FFA371C"/>
    <w:rsid w:val="306744D1"/>
    <w:rsid w:val="306C7DC6"/>
    <w:rsid w:val="30926BF3"/>
    <w:rsid w:val="30B25E12"/>
    <w:rsid w:val="31BE298A"/>
    <w:rsid w:val="32E13C63"/>
    <w:rsid w:val="344F3FA7"/>
    <w:rsid w:val="36D86F7C"/>
    <w:rsid w:val="38A13306"/>
    <w:rsid w:val="38DA456E"/>
    <w:rsid w:val="39975BA6"/>
    <w:rsid w:val="3AF1337E"/>
    <w:rsid w:val="3B29666E"/>
    <w:rsid w:val="3BD93F82"/>
    <w:rsid w:val="3D2C6E4B"/>
    <w:rsid w:val="3F8F6DDC"/>
    <w:rsid w:val="41412BA9"/>
    <w:rsid w:val="414B092D"/>
    <w:rsid w:val="428B180F"/>
    <w:rsid w:val="42F655C2"/>
    <w:rsid w:val="432A5249"/>
    <w:rsid w:val="4B321960"/>
    <w:rsid w:val="4C886703"/>
    <w:rsid w:val="4CAB5636"/>
    <w:rsid w:val="4FF14AF9"/>
    <w:rsid w:val="507C6D9B"/>
    <w:rsid w:val="51FE2141"/>
    <w:rsid w:val="52A5300F"/>
    <w:rsid w:val="52D67214"/>
    <w:rsid w:val="53666540"/>
    <w:rsid w:val="54805E97"/>
    <w:rsid w:val="58F71E1B"/>
    <w:rsid w:val="5AAA024F"/>
    <w:rsid w:val="5B03795E"/>
    <w:rsid w:val="5DCD170D"/>
    <w:rsid w:val="5DFB736C"/>
    <w:rsid w:val="5F607ECA"/>
    <w:rsid w:val="60416051"/>
    <w:rsid w:val="60546E99"/>
    <w:rsid w:val="60A74B67"/>
    <w:rsid w:val="60F90299"/>
    <w:rsid w:val="61094D17"/>
    <w:rsid w:val="62607282"/>
    <w:rsid w:val="637D701F"/>
    <w:rsid w:val="63F11E94"/>
    <w:rsid w:val="63F70CE7"/>
    <w:rsid w:val="63FE5281"/>
    <w:rsid w:val="641223C8"/>
    <w:rsid w:val="659B0B24"/>
    <w:rsid w:val="6DEB50BE"/>
    <w:rsid w:val="6EA91446"/>
    <w:rsid w:val="70B534C0"/>
    <w:rsid w:val="71A4002C"/>
    <w:rsid w:val="75BE509E"/>
    <w:rsid w:val="7AF516A8"/>
    <w:rsid w:val="7D1909ED"/>
    <w:rsid w:val="7E260B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2051</Words>
  <Characters>3053</Characters>
  <Lines>0</Lines>
  <Paragraphs>0</Paragraphs>
  <TotalTime>0</TotalTime>
  <ScaleCrop>false</ScaleCrop>
  <LinksUpToDate>false</LinksUpToDate>
  <CharactersWithSpaces>3167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00AAA09D973841D9835ED39DF7FFAC95_13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