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D9B0B">
      <w:pPr>
        <w:jc w:val="center"/>
        <w:rPr>
          <w:rFonts w:hint="default" w:ascii="Times New Roman" w:hAnsi="Times New Roman" w:eastAsia="微软雅黑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32"/>
          <w:szCs w:val="32"/>
        </w:rPr>
        <w:t>易肽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val="en-US" w:eastAsia="zh-CN"/>
        </w:rPr>
        <w:t>EasyPept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vertAlign w:val="superscript"/>
          <w:lang w:val="en-US" w:eastAsia="zh-CN"/>
        </w:rPr>
        <w:t>TM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val="en-US" w:eastAsia="zh-CN"/>
        </w:rPr>
        <w:t xml:space="preserve"> PTM</w:t>
      </w:r>
    </w:p>
    <w:p w14:paraId="61174055">
      <w:pPr>
        <w:jc w:val="center"/>
        <w:rPr>
          <w:rFonts w:hint="default" w:ascii="Times New Roman" w:hAnsi="Times New Roman" w:eastAsia="微软雅黑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val="en-US" w:eastAsia="zh-CN"/>
        </w:rPr>
        <w:t>磷酸化富集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</w:rPr>
        <w:t>试剂盒</w:t>
      </w:r>
    </w:p>
    <w:p w14:paraId="220980B8">
      <w:pPr>
        <w:jc w:val="center"/>
        <w:rPr>
          <w:rFonts w:hint="default" w:ascii="Times New Roman" w:hAnsi="Times New Roman" w:eastAsia="微软雅黑" w:cs="Times New Roman"/>
          <w:lang w:val="en-US" w:eastAsia="zh-CN"/>
        </w:rPr>
      </w:pPr>
      <w:r>
        <w:rPr>
          <w:rFonts w:hint="default" w:ascii="Times New Roman" w:hAnsi="Times New Roman" w:eastAsia="微软雅黑" w:cs="Times New Roman"/>
          <w:lang w:val="en-US" w:eastAsia="zh-CN"/>
        </w:rPr>
        <w:t>货号：OSFP0005</w:t>
      </w:r>
      <w:r>
        <w:rPr>
          <w:rFonts w:hint="eastAsia" w:ascii="Times New Roman" w:hAnsi="Times New Roman" w:eastAsia="微软雅黑" w:cs="Times New Roman"/>
          <w:lang w:val="en-US" w:eastAsia="zh-CN"/>
        </w:rPr>
        <w:t>FFPE-</w:t>
      </w:r>
      <w:r>
        <w:rPr>
          <w:rFonts w:hint="default" w:ascii="Times New Roman" w:hAnsi="Times New Roman" w:eastAsia="微软雅黑" w:cs="Times New Roman"/>
          <w:lang w:val="en-US" w:eastAsia="zh-CN"/>
        </w:rPr>
        <w:t xml:space="preserve">200μg </w:t>
      </w:r>
      <w:r>
        <w:rPr>
          <w:rFonts w:hint="eastAsia" w:ascii="Times New Roman" w:hAnsi="Times New Roman" w:eastAsia="微软雅黑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lang w:val="en-US" w:eastAsia="zh-CN"/>
        </w:rPr>
        <w:t>规格：</w:t>
      </w:r>
      <w:r>
        <w:rPr>
          <w:rFonts w:hint="eastAsia" w:ascii="Times New Roman" w:hAnsi="Times New Roman" w:eastAsia="微软雅黑" w:cs="Times New Roman"/>
          <w:lang w:val="en-US" w:eastAsia="zh-CN"/>
        </w:rPr>
        <w:t>96</w:t>
      </w:r>
      <w:r>
        <w:rPr>
          <w:rFonts w:hint="default" w:ascii="Times New Roman" w:hAnsi="Times New Roman" w:eastAsia="微软雅黑" w:cs="Times New Roman"/>
          <w:lang w:val="en-US" w:eastAsia="zh-CN"/>
        </w:rPr>
        <w:t>x</w:t>
      </w:r>
      <w:r>
        <w:rPr>
          <w:rFonts w:hint="eastAsia" w:ascii="Times New Roman" w:hAnsi="Times New Roman" w:eastAsia="微软雅黑" w:cs="Times New Roman"/>
          <w:lang w:val="en-US" w:eastAsia="zh-CN"/>
        </w:rPr>
        <w:t xml:space="preserve">  版本号：V20260609</w:t>
      </w:r>
    </w:p>
    <w:p w14:paraId="59BF1A68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试剂盒包含</w:t>
      </w:r>
    </w:p>
    <w:tbl>
      <w:tblPr>
        <w:tblStyle w:val="7"/>
        <w:tblpPr w:leftFromText="180" w:rightFromText="180" w:vertAnchor="text" w:horzAnchor="page" w:tblpX="1798" w:tblpY="579"/>
        <w:tblOverlap w:val="never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2"/>
        <w:gridCol w:w="1766"/>
        <w:gridCol w:w="4556"/>
        <w:gridCol w:w="1269"/>
      </w:tblGrid>
      <w:tr w14:paraId="6D5AE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28A884F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试剂名称</w:t>
            </w:r>
          </w:p>
        </w:tc>
        <w:tc>
          <w:tcPr>
            <w:tcW w:w="949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22E5051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规格</w:t>
            </w:r>
          </w:p>
        </w:tc>
        <w:tc>
          <w:tcPr>
            <w:tcW w:w="2448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26C9D22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简   介</w:t>
            </w:r>
          </w:p>
        </w:tc>
        <w:tc>
          <w:tcPr>
            <w:tcW w:w="682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56DDE6E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储存条件</w:t>
            </w:r>
          </w:p>
        </w:tc>
      </w:tr>
      <w:tr w14:paraId="45529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1F6951A4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DF731"/>
                <w:sz w:val="21"/>
                <w:szCs w:val="21"/>
                <w:vertAlign w:val="baseline"/>
                <w:lang w:val="en-US" w:eastAsia="zh-CN"/>
              </w:rPr>
              <w:t>●</w:t>
            </w:r>
            <w:r>
              <w:rPr>
                <w:rFonts w:hint="default" w:ascii="Times New Roman" w:hAnsi="Times New Roman" w:eastAsia="微软雅黑" w:cs="Times New Roman"/>
                <w:color w:val="FDF731"/>
                <w:sz w:val="21"/>
                <w:szCs w:val="21"/>
              </w:rPr>
              <w:t xml:space="preserve"> </w:t>
            </w:r>
          </w:p>
        </w:tc>
        <w:tc>
          <w:tcPr>
            <w:tcW w:w="949" w:type="pct"/>
            <w:tcBorders>
              <w:top w:val="nil"/>
              <w:bottom w:val="nil"/>
            </w:tcBorders>
            <w:noWrap w:val="0"/>
            <w:vAlign w:val="center"/>
          </w:tcPr>
          <w:p w14:paraId="241C67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ml*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448" w:type="pct"/>
            <w:tcBorders>
              <w:top w:val="nil"/>
              <w:bottom w:val="nil"/>
            </w:tcBorders>
            <w:noWrap w:val="0"/>
            <w:vAlign w:val="center"/>
          </w:tcPr>
          <w:p w14:paraId="7E476D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裂解液，用于蛋白裂解</w:t>
            </w:r>
          </w:p>
        </w:tc>
        <w:tc>
          <w:tcPr>
            <w:tcW w:w="682" w:type="pct"/>
            <w:tcBorders>
              <w:top w:val="nil"/>
              <w:bottom w:val="nil"/>
            </w:tcBorders>
            <w:noWrap w:val="0"/>
            <w:vAlign w:val="center"/>
          </w:tcPr>
          <w:p w14:paraId="582370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126CC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6B486B8B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磷酸酶抑制剂</w:t>
            </w:r>
          </w:p>
        </w:tc>
        <w:tc>
          <w:tcPr>
            <w:tcW w:w="949" w:type="pct"/>
            <w:tcBorders>
              <w:top w:val="nil"/>
              <w:bottom w:val="nil"/>
            </w:tcBorders>
            <w:noWrap w:val="0"/>
            <w:vAlign w:val="center"/>
          </w:tcPr>
          <w:p w14:paraId="3C7A70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μl</w:t>
            </w:r>
          </w:p>
        </w:tc>
        <w:tc>
          <w:tcPr>
            <w:tcW w:w="2448" w:type="pct"/>
            <w:tcBorders>
              <w:top w:val="nil"/>
              <w:bottom w:val="nil"/>
            </w:tcBorders>
            <w:noWrap w:val="0"/>
            <w:vAlign w:val="center"/>
          </w:tcPr>
          <w:p w14:paraId="78EB09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磷酸酶抑制剂</w:t>
            </w:r>
          </w:p>
        </w:tc>
        <w:tc>
          <w:tcPr>
            <w:tcW w:w="682" w:type="pct"/>
            <w:tcBorders>
              <w:top w:val="nil"/>
              <w:bottom w:val="nil"/>
            </w:tcBorders>
            <w:noWrap w:val="0"/>
            <w:vAlign w:val="center"/>
          </w:tcPr>
          <w:p w14:paraId="35FF25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4℃避光</w:t>
            </w:r>
          </w:p>
        </w:tc>
      </w:tr>
      <w:tr w14:paraId="2B441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1DFA05DD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A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843C0B"/>
                <w:sz w:val="21"/>
                <w:szCs w:val="21"/>
                <w:vertAlign w:val="baseline"/>
                <w:lang w:val="en-US" w:eastAsia="zh-CN"/>
              </w:rPr>
              <w:t>●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949" w:type="pct"/>
            <w:tcBorders>
              <w:top w:val="nil"/>
              <w:bottom w:val="nil"/>
            </w:tcBorders>
            <w:noWrap w:val="0"/>
            <w:vAlign w:val="center"/>
          </w:tcPr>
          <w:p w14:paraId="1B4B62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448" w:type="pct"/>
            <w:tcBorders>
              <w:top w:val="nil"/>
              <w:bottom w:val="nil"/>
            </w:tcBorders>
            <w:noWrap w:val="0"/>
            <w:vAlign w:val="center"/>
          </w:tcPr>
          <w:p w14:paraId="6506D7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还原烷基化，蛋白质还原烷基化</w:t>
            </w:r>
          </w:p>
        </w:tc>
        <w:tc>
          <w:tcPr>
            <w:tcW w:w="682" w:type="pct"/>
            <w:tcBorders>
              <w:top w:val="nil"/>
              <w:bottom w:val="nil"/>
            </w:tcBorders>
            <w:noWrap w:val="0"/>
            <w:vAlign w:val="center"/>
          </w:tcPr>
          <w:p w14:paraId="41362F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-20℃</w:t>
            </w:r>
          </w:p>
        </w:tc>
      </w:tr>
      <w:tr w14:paraId="390CF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75F9F3FD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B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F000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949" w:type="pct"/>
            <w:tcBorders>
              <w:top w:val="nil"/>
              <w:bottom w:val="nil"/>
            </w:tcBorders>
            <w:noWrap w:val="0"/>
            <w:vAlign w:val="center"/>
          </w:tcPr>
          <w:p w14:paraId="0D69EE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448" w:type="pct"/>
            <w:tcBorders>
              <w:top w:val="nil"/>
              <w:bottom w:val="nil"/>
            </w:tcBorders>
            <w:noWrap w:val="0"/>
            <w:vAlign w:val="center"/>
          </w:tcPr>
          <w:p w14:paraId="3B42E5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酶，蛋白酶解</w:t>
            </w:r>
          </w:p>
        </w:tc>
        <w:tc>
          <w:tcPr>
            <w:tcW w:w="682" w:type="pct"/>
            <w:tcBorders>
              <w:top w:val="nil"/>
              <w:bottom w:val="nil"/>
            </w:tcBorders>
            <w:noWrap w:val="0"/>
            <w:vAlign w:val="center"/>
          </w:tcPr>
          <w:p w14:paraId="1D2ACE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-20℃</w:t>
            </w:r>
          </w:p>
        </w:tc>
      </w:tr>
      <w:tr w14:paraId="32002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72BE6ED5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949" w:type="pct"/>
            <w:tcBorders>
              <w:top w:val="nil"/>
              <w:bottom w:val="nil"/>
            </w:tcBorders>
            <w:noWrap w:val="0"/>
            <w:vAlign w:val="center"/>
          </w:tcPr>
          <w:p w14:paraId="70D385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1.3 m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448" w:type="pct"/>
            <w:tcBorders>
              <w:top w:val="nil"/>
              <w:bottom w:val="nil"/>
            </w:tcBorders>
            <w:noWrap w:val="0"/>
            <w:vAlign w:val="center"/>
          </w:tcPr>
          <w:p w14:paraId="56D36C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终止试剂，终止酶解反应</w:t>
            </w:r>
          </w:p>
        </w:tc>
        <w:tc>
          <w:tcPr>
            <w:tcW w:w="682" w:type="pct"/>
            <w:tcBorders>
              <w:top w:val="nil"/>
              <w:bottom w:val="nil"/>
            </w:tcBorders>
            <w:noWrap w:val="0"/>
            <w:vAlign w:val="center"/>
          </w:tcPr>
          <w:p w14:paraId="1125CD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常温</w:t>
            </w:r>
          </w:p>
        </w:tc>
      </w:tr>
      <w:tr w14:paraId="66C5A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920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5D103711">
            <w:pPr>
              <w:spacing w:line="360" w:lineRule="auto"/>
              <w:jc w:val="center"/>
              <w:rPr>
                <w:rFonts w:hint="default" w:ascii="Times New Roman" w:hAnsi="Times New Roman" w:eastAsia="微软雅黑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WASH 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5D838E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●</w:t>
            </w:r>
          </w:p>
        </w:tc>
        <w:tc>
          <w:tcPr>
            <w:tcW w:w="9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55F5AD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 m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448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048633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1"/>
                <w:szCs w:val="21"/>
                <w:lang w:val="en-US" w:eastAsia="zh-CN" w:bidi="ar-SA"/>
              </w:rPr>
              <w:t>肽段清洗试剂，去除掉多余的石蜡</w:t>
            </w:r>
          </w:p>
        </w:tc>
        <w:tc>
          <w:tcPr>
            <w:tcW w:w="682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61A770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kern w:val="2"/>
                <w:sz w:val="21"/>
                <w:szCs w:val="21"/>
                <w:lang w:val="en-US" w:eastAsia="zh-CN" w:bidi="ar-SA"/>
              </w:rPr>
              <w:t>常温</w:t>
            </w:r>
          </w:p>
        </w:tc>
      </w:tr>
      <w:tr w14:paraId="115AC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29517A6F">
            <w:pPr>
              <w:jc w:val="center"/>
              <w:rPr>
                <w:rFonts w:hint="default" w:ascii="Times New Roman" w:hAnsi="Times New Roman" w:eastAsia="微软雅黑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B0F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949" w:type="pct"/>
            <w:tcBorders>
              <w:top w:val="nil"/>
              <w:bottom w:val="nil"/>
            </w:tcBorders>
            <w:noWrap w:val="0"/>
            <w:vAlign w:val="center"/>
          </w:tcPr>
          <w:p w14:paraId="3D4FC5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20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448" w:type="pct"/>
            <w:tcBorders>
              <w:top w:val="nil"/>
              <w:bottom w:val="nil"/>
            </w:tcBorders>
            <w:noWrap w:val="0"/>
            <w:vAlign w:val="center"/>
          </w:tcPr>
          <w:p w14:paraId="670A7B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肽段清洗试剂1，清洗肽段</w:t>
            </w:r>
          </w:p>
        </w:tc>
        <w:tc>
          <w:tcPr>
            <w:tcW w:w="682" w:type="pct"/>
            <w:tcBorders>
              <w:top w:val="nil"/>
              <w:bottom w:val="nil"/>
            </w:tcBorders>
            <w:noWrap w:val="0"/>
            <w:vAlign w:val="center"/>
          </w:tcPr>
          <w:p w14:paraId="3B656D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4FB37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2EA26EB8">
            <w:pPr>
              <w:jc w:val="center"/>
              <w:rPr>
                <w:rFonts w:hint="default" w:ascii="Times New Roman" w:hAnsi="Times New Roman" w:eastAsia="微软雅黑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D2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5E2A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949" w:type="pct"/>
            <w:tcBorders>
              <w:top w:val="nil"/>
              <w:bottom w:val="nil"/>
            </w:tcBorders>
            <w:noWrap w:val="0"/>
            <w:vAlign w:val="center"/>
          </w:tcPr>
          <w:p w14:paraId="5D52DD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20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448" w:type="pct"/>
            <w:tcBorders>
              <w:top w:val="nil"/>
              <w:bottom w:val="nil"/>
            </w:tcBorders>
            <w:noWrap w:val="0"/>
            <w:vAlign w:val="center"/>
          </w:tcPr>
          <w:p w14:paraId="3CA06F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肽段清洗试剂2，清洗肽段</w:t>
            </w:r>
          </w:p>
        </w:tc>
        <w:tc>
          <w:tcPr>
            <w:tcW w:w="682" w:type="pct"/>
            <w:tcBorders>
              <w:top w:val="nil"/>
              <w:bottom w:val="nil"/>
            </w:tcBorders>
            <w:noWrap w:val="0"/>
            <w:vAlign w:val="center"/>
          </w:tcPr>
          <w:p w14:paraId="1CF039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34D73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24B83F1C">
            <w:pPr>
              <w:jc w:val="center"/>
              <w:rPr>
                <w:rFonts w:hint="default" w:ascii="Times New Roman" w:hAnsi="Times New Roman" w:eastAsia="微软雅黑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E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87BE5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949" w:type="pct"/>
            <w:tcBorders>
              <w:top w:val="nil"/>
              <w:bottom w:val="nil"/>
            </w:tcBorders>
            <w:noWrap w:val="0"/>
            <w:vAlign w:val="center"/>
          </w:tcPr>
          <w:p w14:paraId="547FDE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 m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448" w:type="pct"/>
            <w:tcBorders>
              <w:top w:val="nil"/>
              <w:bottom w:val="nil"/>
            </w:tcBorders>
            <w:noWrap w:val="0"/>
            <w:vAlign w:val="center"/>
          </w:tcPr>
          <w:p w14:paraId="3CCC1E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肽段洗脱试剂</w:t>
            </w:r>
          </w:p>
        </w:tc>
        <w:tc>
          <w:tcPr>
            <w:tcW w:w="682" w:type="pct"/>
            <w:tcBorders>
              <w:top w:val="nil"/>
              <w:bottom w:val="nil"/>
            </w:tcBorders>
            <w:noWrap w:val="0"/>
            <w:vAlign w:val="center"/>
          </w:tcPr>
          <w:p w14:paraId="2B7A65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5F533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920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1C7F4112">
            <w:pPr>
              <w:jc w:val="center"/>
              <w:rPr>
                <w:rFonts w:hint="default" w:ascii="Times New Roman" w:hAnsi="Times New Roman" w:eastAsia="微软雅黑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I</w:t>
            </w:r>
          </w:p>
        </w:tc>
        <w:tc>
          <w:tcPr>
            <w:tcW w:w="9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14AB8B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1.3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448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0CE3CC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调整buffer体系</w:t>
            </w:r>
          </w:p>
        </w:tc>
        <w:tc>
          <w:tcPr>
            <w:tcW w:w="682" w:type="pct"/>
            <w:tcBorders>
              <w:top w:val="nil"/>
              <w:bottom w:val="nil"/>
            </w:tcBorders>
            <w:noWrap w:val="0"/>
            <w:vAlign w:val="center"/>
          </w:tcPr>
          <w:p w14:paraId="1CB951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6FA54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68313680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F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B05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949" w:type="pct"/>
            <w:tcBorders>
              <w:top w:val="nil"/>
              <w:bottom w:val="nil"/>
            </w:tcBorders>
            <w:noWrap w:val="0"/>
            <w:vAlign w:val="center"/>
          </w:tcPr>
          <w:p w14:paraId="7DF0B5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448" w:type="pct"/>
            <w:tcBorders>
              <w:top w:val="nil"/>
              <w:bottom w:val="nil"/>
            </w:tcBorders>
            <w:noWrap w:val="0"/>
            <w:vAlign w:val="center"/>
          </w:tcPr>
          <w:p w14:paraId="128616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肽段清洗</w:t>
            </w:r>
          </w:p>
        </w:tc>
        <w:tc>
          <w:tcPr>
            <w:tcW w:w="682" w:type="pct"/>
            <w:tcBorders>
              <w:top w:val="nil"/>
              <w:bottom w:val="nil"/>
            </w:tcBorders>
            <w:noWrap w:val="0"/>
            <w:vAlign w:val="center"/>
          </w:tcPr>
          <w:p w14:paraId="6A975D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1FD8A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041EA74C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G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E46C0A" w:themeColor="accent6" w:themeShade="BF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949" w:type="pct"/>
            <w:tcBorders>
              <w:top w:val="nil"/>
              <w:bottom w:val="nil"/>
            </w:tcBorders>
            <w:noWrap w:val="0"/>
            <w:vAlign w:val="center"/>
          </w:tcPr>
          <w:p w14:paraId="0AEC8B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20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448" w:type="pct"/>
            <w:tcBorders>
              <w:top w:val="nil"/>
              <w:bottom w:val="nil"/>
            </w:tcBorders>
            <w:noWrap w:val="0"/>
            <w:vAlign w:val="center"/>
          </w:tcPr>
          <w:p w14:paraId="0BCA1F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肽段清洗</w:t>
            </w:r>
          </w:p>
        </w:tc>
        <w:tc>
          <w:tcPr>
            <w:tcW w:w="682" w:type="pct"/>
            <w:tcBorders>
              <w:top w:val="nil"/>
              <w:bottom w:val="nil"/>
            </w:tcBorders>
            <w:noWrap w:val="0"/>
            <w:vAlign w:val="center"/>
          </w:tcPr>
          <w:p w14:paraId="0812BB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4F1F4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046C1E89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H1</w:t>
            </w:r>
            <w:r>
              <w:rPr>
                <w:rFonts w:hint="default" w:ascii="Times New Roman" w:hAnsi="Times New Roman" w:eastAsia="微软雅黑" w:cs="Times New Roman"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FFFFF" w:themeColor="background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●</w:t>
            </w:r>
          </w:p>
        </w:tc>
        <w:tc>
          <w:tcPr>
            <w:tcW w:w="949" w:type="pct"/>
            <w:tcBorders>
              <w:top w:val="nil"/>
              <w:bottom w:val="nil"/>
            </w:tcBorders>
            <w:noWrap w:val="0"/>
            <w:vAlign w:val="center"/>
          </w:tcPr>
          <w:p w14:paraId="28E636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 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448" w:type="pct"/>
            <w:tcBorders>
              <w:top w:val="nil"/>
              <w:bottom w:val="nil"/>
            </w:tcBorders>
            <w:noWrap w:val="0"/>
            <w:vAlign w:val="center"/>
          </w:tcPr>
          <w:p w14:paraId="59A535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肽段洗脱</w:t>
            </w:r>
          </w:p>
        </w:tc>
        <w:tc>
          <w:tcPr>
            <w:tcW w:w="682" w:type="pct"/>
            <w:tcBorders>
              <w:top w:val="nil"/>
              <w:bottom w:val="nil"/>
            </w:tcBorders>
            <w:noWrap w:val="0"/>
            <w:vAlign w:val="center"/>
          </w:tcPr>
          <w:p w14:paraId="77773A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2DB92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573312F4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H2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7030A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949" w:type="pct"/>
            <w:tcBorders>
              <w:top w:val="nil"/>
              <w:bottom w:val="nil"/>
            </w:tcBorders>
            <w:noWrap w:val="0"/>
            <w:vAlign w:val="center"/>
          </w:tcPr>
          <w:p w14:paraId="1C4401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 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448" w:type="pct"/>
            <w:tcBorders>
              <w:top w:val="nil"/>
              <w:bottom w:val="nil"/>
            </w:tcBorders>
            <w:noWrap w:val="0"/>
            <w:vAlign w:val="center"/>
          </w:tcPr>
          <w:p w14:paraId="553FCB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肽段洗脱</w:t>
            </w:r>
          </w:p>
        </w:tc>
        <w:tc>
          <w:tcPr>
            <w:tcW w:w="682" w:type="pct"/>
            <w:tcBorders>
              <w:top w:val="nil"/>
              <w:bottom w:val="nil"/>
            </w:tcBorders>
            <w:noWrap w:val="0"/>
            <w:vAlign w:val="center"/>
          </w:tcPr>
          <w:p w14:paraId="5E1EF6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44554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71DF2182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Cartridge</w:t>
            </w:r>
          </w:p>
        </w:tc>
        <w:tc>
          <w:tcPr>
            <w:tcW w:w="949" w:type="pct"/>
            <w:tcBorders>
              <w:top w:val="nil"/>
              <w:bottom w:val="nil"/>
            </w:tcBorders>
            <w:noWrap w:val="0"/>
            <w:vAlign w:val="center"/>
          </w:tcPr>
          <w:p w14:paraId="7B147F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200 μg载量*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96</w:t>
            </w:r>
          </w:p>
        </w:tc>
        <w:tc>
          <w:tcPr>
            <w:tcW w:w="2448" w:type="pct"/>
            <w:tcBorders>
              <w:top w:val="nil"/>
              <w:bottom w:val="nil"/>
            </w:tcBorders>
            <w:noWrap w:val="0"/>
            <w:vAlign w:val="center"/>
          </w:tcPr>
          <w:p w14:paraId="3CBCE4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肽段脱盐</w:t>
            </w:r>
          </w:p>
        </w:tc>
        <w:tc>
          <w:tcPr>
            <w:tcW w:w="682" w:type="pct"/>
            <w:tcBorders>
              <w:top w:val="nil"/>
              <w:bottom w:val="nil"/>
            </w:tcBorders>
            <w:noWrap w:val="0"/>
            <w:vAlign w:val="center"/>
          </w:tcPr>
          <w:p w14:paraId="491735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31869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3B5B96FE">
            <w:pPr>
              <w:jc w:val="center"/>
              <w:rPr>
                <w:rFonts w:hint="default" w:ascii="Times New Roman" w:hAnsi="Times New Roman" w:eastAsia="微软雅黑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EnrichmentTip</w:t>
            </w:r>
          </w:p>
        </w:tc>
        <w:tc>
          <w:tcPr>
            <w:tcW w:w="9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7254C5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200 μg载量*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96</w:t>
            </w:r>
          </w:p>
        </w:tc>
        <w:tc>
          <w:tcPr>
            <w:tcW w:w="2448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32C6F3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肽段富集</w:t>
            </w:r>
          </w:p>
        </w:tc>
        <w:tc>
          <w:tcPr>
            <w:tcW w:w="682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16D3C6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常温避光</w:t>
            </w:r>
          </w:p>
        </w:tc>
      </w:tr>
      <w:tr w14:paraId="729A4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52E362CA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S板</w:t>
            </w:r>
          </w:p>
        </w:tc>
        <w:tc>
          <w:tcPr>
            <w:tcW w:w="9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0F3F067E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1（96X）</w:t>
            </w:r>
          </w:p>
        </w:tc>
        <w:tc>
          <w:tcPr>
            <w:tcW w:w="2448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0EBE20A3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用于样品的还原烷基化、酶解</w:t>
            </w:r>
          </w:p>
        </w:tc>
        <w:tc>
          <w:tcPr>
            <w:tcW w:w="682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52AE9094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常温</w:t>
            </w:r>
          </w:p>
        </w:tc>
      </w:tr>
      <w:tr w14:paraId="6B6C2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38F8D1F5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Waste 板</w:t>
            </w:r>
          </w:p>
        </w:tc>
        <w:tc>
          <w:tcPr>
            <w:tcW w:w="9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2538B59B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1（96X）</w:t>
            </w:r>
          </w:p>
        </w:tc>
        <w:tc>
          <w:tcPr>
            <w:tcW w:w="2448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0AFF7D47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脱盐废液收集</w:t>
            </w:r>
          </w:p>
        </w:tc>
        <w:tc>
          <w:tcPr>
            <w:tcW w:w="682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5409FCB3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常温</w:t>
            </w:r>
          </w:p>
        </w:tc>
      </w:tr>
      <w:tr w14:paraId="10C55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2AB8E62F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Collection 板</w:t>
            </w:r>
          </w:p>
        </w:tc>
        <w:tc>
          <w:tcPr>
            <w:tcW w:w="9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11B2D463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1（96X）</w:t>
            </w:r>
          </w:p>
        </w:tc>
        <w:tc>
          <w:tcPr>
            <w:tcW w:w="2448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018DB062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洗脱肽段收集</w:t>
            </w:r>
          </w:p>
        </w:tc>
        <w:tc>
          <w:tcPr>
            <w:tcW w:w="682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5C86F551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常温</w:t>
            </w:r>
          </w:p>
        </w:tc>
      </w:tr>
      <w:tr w14:paraId="2D276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142442D9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封口膜</w:t>
            </w:r>
          </w:p>
        </w:tc>
        <w:tc>
          <w:tcPr>
            <w:tcW w:w="949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16372A37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448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33D96FE6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96孔板封口</w:t>
            </w:r>
          </w:p>
        </w:tc>
        <w:tc>
          <w:tcPr>
            <w:tcW w:w="682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4E6EC723">
            <w:pPr>
              <w:spacing w:line="48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常温</w:t>
            </w:r>
          </w:p>
        </w:tc>
      </w:tr>
      <w:tr w14:paraId="67E4A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7C3E6E67">
            <w:pPr>
              <w:spacing w:line="360" w:lineRule="auto"/>
              <w:jc w:val="center"/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Adaptor</w:t>
            </w:r>
          </w:p>
        </w:tc>
        <w:tc>
          <w:tcPr>
            <w:tcW w:w="949" w:type="pct"/>
            <w:tcBorders>
              <w:top w:val="nil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4C014F95">
            <w:pPr>
              <w:spacing w:line="360" w:lineRule="auto"/>
              <w:jc w:val="center"/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1（96X）</w:t>
            </w:r>
          </w:p>
        </w:tc>
        <w:tc>
          <w:tcPr>
            <w:tcW w:w="2448" w:type="pct"/>
            <w:tcBorders>
              <w:top w:val="nil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5FC33950">
            <w:pPr>
              <w:spacing w:line="36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96孔板除盐适配器</w:t>
            </w: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  <w:t>（仅在首次购买96X试剂盒时附赠）</w:t>
            </w:r>
          </w:p>
        </w:tc>
        <w:tc>
          <w:tcPr>
            <w:tcW w:w="682" w:type="pct"/>
            <w:tcBorders>
              <w:top w:val="nil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5E26339A">
            <w:pPr>
              <w:spacing w:line="360" w:lineRule="auto"/>
              <w:jc w:val="center"/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常温</w:t>
            </w:r>
          </w:p>
        </w:tc>
      </w:tr>
    </w:tbl>
    <w:p w14:paraId="315FA07D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试剂盒简介</w:t>
      </w:r>
      <w:bookmarkStart w:id="0" w:name="_GoBack"/>
      <w:bookmarkEnd w:id="0"/>
    </w:p>
    <w:p w14:paraId="7115B88E">
      <w:pPr>
        <w:jc w:val="left"/>
        <w:rPr>
          <w:rFonts w:hint="default" w:ascii="Times New Roman" w:hAnsi="Times New Roman" w:eastAsia="微软雅黑" w:cs="Times New Roman"/>
          <w:lang w:val="en-US" w:eastAsia="zh-CN"/>
        </w:rPr>
      </w:pPr>
      <w:r>
        <w:rPr>
          <w:rFonts w:hint="default" w:ascii="Times New Roman" w:hAnsi="Times New Roman" w:eastAsia="微软雅黑" w:cs="Times New Roman"/>
          <w:lang w:val="en-US" w:eastAsia="zh-CN"/>
        </w:rPr>
        <w:t>样品制备是蛋白质组学实验最重要的步骤之一，合适的前处理过程是实验成功的关键。尤其翻译后修饰组学，由于含量低、不稳定的特性，对样本的保存、制备条件要求更为严格。</w:t>
      </w:r>
    </w:p>
    <w:p w14:paraId="59C7DF2C">
      <w:pPr>
        <w:jc w:val="left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default" w:ascii="Times New Roman" w:hAnsi="Times New Roman" w:eastAsia="微软雅黑" w:cs="Times New Roman"/>
          <w:lang w:val="en-US" w:eastAsia="zh-CN"/>
        </w:rPr>
        <w:t>易肽EasyPept</w:t>
      </w:r>
      <w:r>
        <w:rPr>
          <w:rFonts w:hint="default" w:ascii="Times New Roman" w:hAnsi="Times New Roman" w:eastAsia="微软雅黑" w:cs="Times New Roman"/>
          <w:vertAlign w:val="superscript"/>
          <w:lang w:val="en-US" w:eastAsia="zh-CN"/>
        </w:rPr>
        <w:t>TM</w:t>
      </w:r>
      <w:r>
        <w:rPr>
          <w:rFonts w:hint="default" w:ascii="Times New Roman" w:hAnsi="Times New Roman" w:eastAsia="微软雅黑" w:cs="Times New Roman"/>
          <w:lang w:val="en-US" w:eastAsia="zh-CN"/>
        </w:rPr>
        <w:t xml:space="preserve"> PTM磷酸化富集试剂盒旨在以较低的样本初始量、较少的样品制备步骤和较短的操作时间获得最佳的实验结果。适用于</w:t>
      </w:r>
      <w:r>
        <w:rPr>
          <w:rFonts w:hint="eastAsia" w:ascii="Times New Roman" w:hAnsi="Times New Roman" w:eastAsia="微软雅黑" w:cs="Times New Roman"/>
          <w:lang w:val="en-US" w:eastAsia="zh-CN"/>
        </w:rPr>
        <w:t>石蜡切片</w:t>
      </w:r>
      <w:r>
        <w:rPr>
          <w:rFonts w:hint="default" w:ascii="Times New Roman" w:hAnsi="Times New Roman" w:eastAsia="微软雅黑" w:cs="Times New Roman"/>
          <w:lang w:val="en-US" w:eastAsia="zh-CN"/>
        </w:rPr>
        <w:t>等样本类型，尤其对于大队列样本的制备过程充分体现出其高通量、高稳健性的优势。该试剂盒提供磷酸化多肽制备包括蛋白变性、还原烷基化、蛋白酶解、肽段脱盐以及肽段富集过程的相关试剂。基于溶液内快速酶解的前处理方法，解决了传统方法样本用量多、试剂成本高、损失大、耗时长的弊端，仅需2-3小时即可完成肽段制备的步骤，且平行性好。基于离心式的肽段富集过程，操作简便，仅需0.5h即可完成肽段富集，以实现微量磷酸化肽段的快速制备及深度覆盖检测。</w:t>
      </w:r>
    </w:p>
    <w:p w14:paraId="1264A435">
      <w:pPr>
        <w:jc w:val="left"/>
        <w:rPr>
          <w:rFonts w:hint="eastAsia" w:ascii="Times New Roman" w:hAnsi="Times New Roman" w:eastAsia="微软雅黑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eastAsia="微软雅黑" w:cs="Times New Roman"/>
          <w:sz w:val="18"/>
          <w:szCs w:val="18"/>
          <w:lang w:val="en-US" w:eastAsia="zh-CN"/>
        </w:rPr>
        <w:drawing>
          <wp:inline distT="0" distB="0" distL="114300" distR="114300">
            <wp:extent cx="5774690" cy="2671445"/>
            <wp:effectExtent l="0" t="0" r="0" b="0"/>
            <wp:docPr id="4" name="图片 4" descr="FFPE-磷酸化-最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FPE-磷酸化-最新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469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3ECC8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需要准备的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耗材</w:t>
      </w:r>
    </w:p>
    <w:p w14:paraId="41861588">
      <w:pPr>
        <w:numPr>
          <w:ilvl w:val="0"/>
          <w:numId w:val="0"/>
        </w:numPr>
        <w:spacing w:line="240" w:lineRule="auto"/>
        <w:ind w:leftChars="0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</w:p>
    <w:tbl>
      <w:tblPr>
        <w:tblStyle w:val="7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3"/>
        <w:gridCol w:w="1413"/>
        <w:gridCol w:w="6060"/>
      </w:tblGrid>
      <w:tr w14:paraId="53EE6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51703E02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18"/>
                <w:szCs w:val="18"/>
              </w:rPr>
              <w:t>设备名称</w:t>
            </w:r>
          </w:p>
        </w:tc>
        <w:tc>
          <w:tcPr>
            <w:tcW w:w="759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14FA3CFE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56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55A844CC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18"/>
                <w:szCs w:val="18"/>
              </w:rPr>
              <w:t>简    介</w:t>
            </w:r>
          </w:p>
        </w:tc>
      </w:tr>
      <w:tr w14:paraId="26AB1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6CC995C1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</w:rPr>
              <w:t>移液器</w:t>
            </w:r>
          </w:p>
        </w:tc>
        <w:tc>
          <w:tcPr>
            <w:tcW w:w="759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57BB02E1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381000" cy="495300"/>
                  <wp:effectExtent l="0" t="0" r="0" b="7620"/>
                  <wp:docPr id="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49983F27">
            <w:pPr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</w:rPr>
              <w:t>吸取蛋白提取过程中的蛋白上清，减少污染物，提高蛋白定量准确度</w:t>
            </w:r>
          </w:p>
        </w:tc>
      </w:tr>
      <w:tr w14:paraId="5BC33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5A09DD2E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</w:rPr>
              <w:t>恒温混匀仪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4D5C6F7D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609600" cy="508000"/>
                  <wp:effectExtent l="0" t="0" r="0" b="10160"/>
                  <wp:docPr id="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31A64F22">
            <w:pPr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</w:rPr>
              <w:t>提供95℃及37℃的恒温条件，促进蛋白质的裂解与酶解</w:t>
            </w:r>
          </w:p>
        </w:tc>
      </w:tr>
      <w:tr w14:paraId="03DF2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639771F4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高通量组织研磨仪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0C09E170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</w:rPr>
              <w:drawing>
                <wp:inline distT="0" distB="0" distL="114300" distR="114300">
                  <wp:extent cx="417830" cy="743585"/>
                  <wp:effectExtent l="0" t="0" r="1270" b="8890"/>
                  <wp:docPr id="160" name="图片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159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hotocopy trans="30000" detail="2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8111" t="15067" r="30556" b="11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30" cy="74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1FF78E61">
            <w:pPr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不同组织样本的破碎，抽提蛋白质</w:t>
            </w:r>
          </w:p>
        </w:tc>
      </w:tr>
      <w:tr w14:paraId="02BBD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3756CC00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</w:rPr>
              <w:t>冷冻/常温离心机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4B817CAC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</w:rPr>
              <w:drawing>
                <wp:inline distT="0" distB="0" distL="114300" distR="114300">
                  <wp:extent cx="666115" cy="582930"/>
                  <wp:effectExtent l="0" t="0" r="3810" b="11430"/>
                  <wp:docPr id="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15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604E12EE">
            <w:pPr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</w:rPr>
              <w:t>冷冻离心机用于蛋白提取，常温离心机用于肽段脱盐，适配器支持1.5/2ml离心管</w:t>
            </w: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eastAsia="zh-CN"/>
              </w:rPr>
              <w:t>，</w:t>
            </w: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高通量操作需要适配96孔板</w:t>
            </w:r>
          </w:p>
        </w:tc>
      </w:tr>
      <w:tr w14:paraId="65B6E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984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3AE07BE8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eastAsia="zh-CN"/>
              </w:rPr>
              <w:t>真空离心浓缩仪</w:t>
            </w:r>
          </w:p>
        </w:tc>
        <w:tc>
          <w:tcPr>
            <w:tcW w:w="759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593347DB">
            <w:pPr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</w:rPr>
              <w:drawing>
                <wp:inline distT="0" distB="0" distL="114300" distR="114300">
                  <wp:extent cx="759460" cy="937895"/>
                  <wp:effectExtent l="0" t="0" r="2540" b="6985"/>
                  <wp:docPr id="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460" cy="93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5F9E69CB">
            <w:pPr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</w:rPr>
              <w:t>脱盐后的肽段</w:t>
            </w: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干燥</w:t>
            </w:r>
          </w:p>
        </w:tc>
      </w:tr>
    </w:tbl>
    <w:p w14:paraId="604C03CB">
      <w:pPr>
        <w:widowControl/>
        <w:spacing w:line="240" w:lineRule="auto"/>
        <w:jc w:val="left"/>
        <w:rPr>
          <w:rFonts w:ascii="Times New Roman" w:hAnsi="Times New Roman" w:eastAsia="微软雅黑" w:cs="Times New Roman"/>
          <w:b/>
          <w:bCs/>
          <w:sz w:val="21"/>
          <w:szCs w:val="21"/>
        </w:rPr>
      </w:pPr>
    </w:p>
    <w:p w14:paraId="0FFF6E79">
      <w:pPr>
        <w:spacing w:line="240" w:lineRule="auto"/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 操作过程</w:t>
      </w:r>
    </w:p>
    <w:p w14:paraId="07356A2B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.1 蛋白提取</w:t>
      </w:r>
    </w:p>
    <w:p w14:paraId="3D81C62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b/>
          <w:bCs/>
          <w:color w:val="92D05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石蜡切片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样本，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根据石蜡切片的数量及组织分布的大小加入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适量试剂 0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，BeatBox/高通量组织研磨仪震荡研磨10min（BeatBox针对的是微量样本的研磨，所以石蜡切片的组织块不能太大，石蜡切片组织量大的样本建议用高通量组织研磨仪震荡研磨）；</w:t>
      </w:r>
      <w:r>
        <w:rPr>
          <w:rFonts w:hint="default" w:ascii="Times New Roman" w:hAnsi="Times New Roman" w:eastAsia="微软雅黑" w:cs="Times New Roman"/>
          <w:b/>
          <w:bCs/>
          <w:color w:val="92D050"/>
          <w:kern w:val="0"/>
          <w:sz w:val="21"/>
          <w:szCs w:val="21"/>
          <w:lang w:val="en-US" w:eastAsia="zh-CN" w:bidi="ar"/>
        </w:rPr>
        <w:t>（备注：如果组织大小在1cm*2cm左右，10μm厚度，建议样本中加入300μl试剂0）</w:t>
      </w:r>
    </w:p>
    <w:p w14:paraId="3FF15E9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震荡研磨结束后将样本转移至新的1.5ml离心管中，95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℃，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1000rpm震荡孵育30min；</w:t>
      </w:r>
    </w:p>
    <w:p w14:paraId="7D55A53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孵育结束待样本恢复至室温后，瞬时离心，然后将枪头的头部剪掉一部分，将样本吹打混匀后取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60μl</w:t>
      </w: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样本进行后续实验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。</w:t>
      </w:r>
    </w:p>
    <w:p w14:paraId="5EC0C018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4</w:t>
      </w: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.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2</w:t>
      </w:r>
      <w:r>
        <w:rPr>
          <w:rFonts w:ascii="Times New Roman" w:hAnsi="Times New Roman" w:eastAsia="微软雅黑" w:cs="Times New Roman"/>
          <w:b/>
          <w:bCs/>
          <w:sz w:val="21"/>
          <w:szCs w:val="21"/>
        </w:rPr>
        <w:t xml:space="preserve"> 蛋白酶解</w:t>
      </w:r>
    </w:p>
    <w:p w14:paraId="51A9BC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a. 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步骤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4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.1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c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中得到的蛋白溶液</w:t>
      </w:r>
      <w:r>
        <w:rPr>
          <w:rFonts w:hint="default" w:ascii="Times New Roman" w:hAnsi="Times New Roman" w:eastAsia="微软雅黑" w:cs="Times New Roman"/>
          <w:b/>
          <w:bCs/>
          <w:color w:val="FF0000"/>
          <w:kern w:val="0"/>
          <w:sz w:val="21"/>
          <w:szCs w:val="21"/>
          <w:lang w:val="en-US" w:eastAsia="zh-CN" w:bidi="ar"/>
        </w:rPr>
        <w:t>（建议总体积不超过</w:t>
      </w:r>
      <w:r>
        <w:rPr>
          <w:rFonts w:hint="eastAsia" w:ascii="Times New Roman" w:hAnsi="Times New Roman" w:eastAsia="微软雅黑" w:cs="Times New Roman"/>
          <w:b/>
          <w:bCs/>
          <w:color w:val="FF0000"/>
          <w:kern w:val="0"/>
          <w:sz w:val="21"/>
          <w:szCs w:val="21"/>
          <w:lang w:val="en-US" w:eastAsia="zh-CN" w:bidi="ar"/>
        </w:rPr>
        <w:t>6</w:t>
      </w:r>
      <w:r>
        <w:rPr>
          <w:rFonts w:hint="default" w:ascii="Times New Roman" w:hAnsi="Times New Roman" w:eastAsia="微软雅黑" w:cs="Times New Roman"/>
          <w:b/>
          <w:bCs/>
          <w:color w:val="FF0000"/>
          <w:kern w:val="0"/>
          <w:sz w:val="21"/>
          <w:szCs w:val="21"/>
          <w:lang w:val="en-US" w:eastAsia="zh-CN" w:bidi="ar"/>
        </w:rPr>
        <w:t>0</w:t>
      </w:r>
      <w:r>
        <w:rPr>
          <w:rFonts w:hint="default" w:ascii="Times New Roman" w:hAnsi="Times New Roman" w:eastAsia="微软雅黑" w:cs="Times New Roman"/>
          <w:b/>
          <w:bCs/>
          <w:color w:val="FF0000"/>
          <w:kern w:val="0"/>
          <w:sz w:val="21"/>
          <w:szCs w:val="21"/>
          <w:highlight w:val="none"/>
          <w:lang w:val="en-US" w:eastAsia="zh-CN" w:bidi="ar"/>
        </w:rPr>
        <w:t>μl</w:t>
      </w:r>
      <w:r>
        <w:rPr>
          <w:rFonts w:hint="eastAsia" w:ascii="Times New Roman" w:hAnsi="Times New Roman" w:eastAsia="微软雅黑" w:cs="Times New Roman"/>
          <w:b/>
          <w:bCs/>
          <w:color w:val="FF0000"/>
          <w:kern w:val="0"/>
          <w:sz w:val="21"/>
          <w:szCs w:val="21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微软雅黑" w:cs="Times New Roman"/>
          <w:b/>
          <w:bCs/>
          <w:color w:val="FF0000"/>
          <w:kern w:val="0"/>
          <w:sz w:val="21"/>
          <w:szCs w:val="21"/>
          <w:highlight w:val="none"/>
          <w:lang w:val="en-US" w:eastAsia="zh-CN" w:bidi="ar"/>
        </w:rPr>
        <w:t>如果体积不到</w:t>
      </w:r>
      <w:r>
        <w:rPr>
          <w:rFonts w:hint="eastAsia" w:ascii="Times New Roman" w:hAnsi="Times New Roman" w:eastAsia="微软雅黑" w:cs="Times New Roman"/>
          <w:b/>
          <w:bCs/>
          <w:color w:val="FF0000"/>
          <w:kern w:val="0"/>
          <w:sz w:val="21"/>
          <w:szCs w:val="21"/>
          <w:highlight w:val="none"/>
          <w:lang w:val="en-US" w:eastAsia="zh-CN" w:bidi="ar"/>
        </w:rPr>
        <w:t>6</w:t>
      </w:r>
      <w:r>
        <w:rPr>
          <w:rFonts w:hint="default" w:ascii="Times New Roman" w:hAnsi="Times New Roman" w:eastAsia="微软雅黑" w:cs="Times New Roman"/>
          <w:b/>
          <w:bCs/>
          <w:color w:val="FF0000"/>
          <w:kern w:val="0"/>
          <w:sz w:val="21"/>
          <w:szCs w:val="21"/>
          <w:highlight w:val="none"/>
          <w:lang w:val="en-US" w:eastAsia="zh-CN" w:bidi="ar"/>
        </w:rPr>
        <w:t>0μl请用试剂0补到</w:t>
      </w:r>
      <w:r>
        <w:rPr>
          <w:rFonts w:hint="eastAsia" w:ascii="Times New Roman" w:hAnsi="Times New Roman" w:eastAsia="微软雅黑" w:cs="Times New Roman"/>
          <w:b/>
          <w:bCs/>
          <w:color w:val="FF0000"/>
          <w:kern w:val="0"/>
          <w:sz w:val="21"/>
          <w:szCs w:val="21"/>
          <w:highlight w:val="none"/>
          <w:lang w:val="en-US" w:eastAsia="zh-CN" w:bidi="ar"/>
        </w:rPr>
        <w:t>6</w:t>
      </w:r>
      <w:r>
        <w:rPr>
          <w:rFonts w:hint="default" w:ascii="Times New Roman" w:hAnsi="Times New Roman" w:eastAsia="微软雅黑" w:cs="Times New Roman"/>
          <w:b/>
          <w:bCs/>
          <w:color w:val="FF0000"/>
          <w:kern w:val="0"/>
          <w:sz w:val="21"/>
          <w:szCs w:val="21"/>
          <w:highlight w:val="none"/>
          <w:lang w:val="en-US" w:eastAsia="zh-CN" w:bidi="ar"/>
        </w:rPr>
        <w:t>0μl</w:t>
      </w:r>
      <w:r>
        <w:rPr>
          <w:rFonts w:hint="eastAsia" w:ascii="Times New Roman" w:hAnsi="Times New Roman" w:eastAsia="微软雅黑" w:cs="Times New Roman"/>
          <w:b/>
          <w:bCs/>
          <w:color w:val="FF0000"/>
          <w:kern w:val="0"/>
          <w:sz w:val="21"/>
          <w:szCs w:val="21"/>
          <w:highlight w:val="none"/>
          <w:lang w:val="en-US" w:eastAsia="zh-CN" w:bidi="ar"/>
        </w:rPr>
        <w:t>）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加入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试剂A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 μl，吹打混匀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95℃加热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2h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（95℃，1000rpm）；</w:t>
      </w:r>
    </w:p>
    <w:p w14:paraId="345938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b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. 加热结束待样品恢复至室温后，分别加入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μl试剂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B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，混匀，37℃酶解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h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37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℃，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8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rpm）；</w:t>
      </w:r>
    </w:p>
    <w:p w14:paraId="500E49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c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. 酶解结束后加入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140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μl试剂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C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，混匀，终止酶解反应，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瞬时离心一下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。</w:t>
      </w:r>
    </w:p>
    <w:p w14:paraId="2462DAEE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4</w:t>
      </w: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.3 肽段脱盐</w:t>
      </w:r>
    </w:p>
    <w:p w14:paraId="2EB8DE0B">
      <w:pPr>
        <w:widowControl/>
        <w:numPr>
          <w:ilvl w:val="0"/>
          <w:numId w:val="3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加载样本：将样本全部加载到脱盐柱中，700g离心1min，重复操作一次；</w:t>
      </w:r>
    </w:p>
    <w:p w14:paraId="310513E4">
      <w:pPr>
        <w:widowControl/>
        <w:numPr>
          <w:ilvl w:val="0"/>
          <w:numId w:val="3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除蜡：200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μl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试剂WASH 0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加入到脱盐柱中，700g离心1min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eastAsia="zh-CN" w:bidi="ar"/>
        </w:rPr>
        <w:t>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重复操作一次；</w:t>
      </w:r>
    </w:p>
    <w:p w14:paraId="25F918C4">
      <w:pPr>
        <w:widowControl/>
        <w:numPr>
          <w:ilvl w:val="0"/>
          <w:numId w:val="3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脱盐柱清洗1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20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0μl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试剂D1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加入到脱盐柱中，700g离心1min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eastAsia="zh-CN" w:bidi="ar"/>
        </w:rPr>
        <w:t>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重复操作一次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；</w:t>
      </w:r>
    </w:p>
    <w:p w14:paraId="0BADCEE0">
      <w:pPr>
        <w:widowControl/>
        <w:numPr>
          <w:ilvl w:val="0"/>
          <w:numId w:val="3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脱盐柱清洗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20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0μl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试剂D2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加入到脱盐柱中，700g离心1min，重复操作一次；</w:t>
      </w:r>
    </w:p>
    <w:p w14:paraId="1CD0C864">
      <w:pPr>
        <w:widowControl/>
        <w:numPr>
          <w:ilvl w:val="0"/>
          <w:numId w:val="3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样本洗脱：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0μl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试剂E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加入到脱盐柱中，700g离心1min，洗脱两次，最终样本体积为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10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0μl；</w:t>
      </w:r>
    </w:p>
    <w:p w14:paraId="00C6D630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洗脱的肽段中加入50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μl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试剂I，混匀；</w:t>
      </w:r>
    </w:p>
    <w:p w14:paraId="7B3E044C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真空冷冻离心浓缩仪浓缩样本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（建议&lt; 30℃）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="Times New Roman" w:hAnsi="Times New Roman" w:eastAsia="微软雅黑" w:cs="Times New Roman"/>
          <w:b/>
          <w:bCs/>
          <w:color w:val="FF0000"/>
          <w:kern w:val="0"/>
          <w:sz w:val="21"/>
          <w:szCs w:val="21"/>
          <w:lang w:val="en-US" w:eastAsia="zh-CN" w:bidi="ar"/>
        </w:rPr>
        <w:t>（样本抽干后底部如有白色相关的沉淀也是正常的，可直接进行后续重悬、富集实验）</w:t>
      </w:r>
    </w:p>
    <w:p w14:paraId="22F65629">
      <w:pPr>
        <w:tabs>
          <w:tab w:val="left" w:pos="5200"/>
        </w:tabs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 xml:space="preserve"> 肽段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富集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eastAsia="zh-CN"/>
        </w:rPr>
        <w:t>（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离心机全程室温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eastAsia="zh-CN"/>
        </w:rPr>
        <w:t>）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eastAsia="zh-CN"/>
        </w:rPr>
        <w:tab/>
      </w:r>
    </w:p>
    <w:p w14:paraId="2A5BB905">
      <w:pPr>
        <w:widowControl/>
        <w:numPr>
          <w:ilvl w:val="0"/>
          <w:numId w:val="4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将EnrichmentTip（富集柱）插入Adaptor上置于2ml离心管中；</w:t>
      </w:r>
    </w:p>
    <w:p w14:paraId="3CF6F6E6">
      <w:pPr>
        <w:widowControl/>
        <w:numPr>
          <w:ilvl w:val="0"/>
          <w:numId w:val="4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150μl 试剂F加入到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4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.3干燥的肽段中，移液器上下吹打混匀8-10次，然后涡旋充分溶解样本；</w:t>
      </w:r>
      <w:r>
        <w:rPr>
          <w:rFonts w:hint="eastAsia" w:ascii="Times New Roman" w:hAnsi="Times New Roman" w:eastAsia="微软雅黑" w:cs="Times New Roman"/>
          <w:b/>
          <w:bCs/>
          <w:color w:val="FF0000"/>
          <w:kern w:val="0"/>
          <w:sz w:val="21"/>
          <w:szCs w:val="21"/>
          <w:lang w:val="en-US" w:eastAsia="zh-CN" w:bidi="ar"/>
        </w:rPr>
        <w:t>（涡旋混匀+超声波清洗机超声5min也是可以的）</w:t>
      </w:r>
    </w:p>
    <w:p w14:paraId="618A4689">
      <w:pPr>
        <w:widowControl/>
        <w:numPr>
          <w:ilvl w:val="0"/>
          <w:numId w:val="4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试剂G加入到EnrichmentTip（富集柱）中，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41855E82">
      <w:pPr>
        <w:widowControl/>
        <w:numPr>
          <w:ilvl w:val="0"/>
          <w:numId w:val="4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试剂F加入到EnrichmentTip（富集柱）中，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000g离心1min，弃掉流穿液；</w:t>
      </w:r>
    </w:p>
    <w:p w14:paraId="23DECCC3">
      <w:pPr>
        <w:widowControl/>
        <w:numPr>
          <w:ilvl w:val="0"/>
          <w:numId w:val="4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将放有EnrichmentTip（富集柱）的Adaptor转移至新的2ml离心管中；</w:t>
      </w:r>
    </w:p>
    <w:p w14:paraId="6F26E780">
      <w:pPr>
        <w:widowControl/>
        <w:numPr>
          <w:ilvl w:val="0"/>
          <w:numId w:val="4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加载样本：将样本全部加载到富集柱中，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000g离心5min，流穿液重复过柱一次；</w:t>
      </w:r>
    </w:p>
    <w:p w14:paraId="2CE0DD5F">
      <w:pPr>
        <w:widowControl/>
        <w:numPr>
          <w:ilvl w:val="0"/>
          <w:numId w:val="4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试剂F加入到EnrichmentTip（富集柱）中，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3D0FBFCD">
      <w:pPr>
        <w:widowControl/>
        <w:numPr>
          <w:ilvl w:val="0"/>
          <w:numId w:val="4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试剂G加入到EnrichmentTip（富集柱）中，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15E933B9">
      <w:pPr>
        <w:widowControl/>
        <w:numPr>
          <w:ilvl w:val="0"/>
          <w:numId w:val="4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试剂F加入到EnrichmentTip（富集柱）中，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5A71EDBE">
      <w:pPr>
        <w:widowControl/>
        <w:numPr>
          <w:ilvl w:val="0"/>
          <w:numId w:val="4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试剂G加入到EnrichmentTip（富集柱）中，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04B5B73F">
      <w:pPr>
        <w:widowControl/>
        <w:numPr>
          <w:ilvl w:val="0"/>
          <w:numId w:val="4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LC-MS水加入到EnrichmentTip（富集柱）中，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6D809EA9">
      <w:pPr>
        <w:widowControl/>
        <w:numPr>
          <w:ilvl w:val="0"/>
          <w:numId w:val="4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将放有EnrichmentTip（富集柱）的Adaptor转移至新的EP管中（建议采用低吸附离心管）；</w:t>
      </w:r>
    </w:p>
    <w:p w14:paraId="24B8E7FE">
      <w:pPr>
        <w:widowControl/>
        <w:numPr>
          <w:ilvl w:val="0"/>
          <w:numId w:val="4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样本洗脱：50μl 试剂H1加入到EnrichmentTip（富集柱）中，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000g离心5min；</w:t>
      </w:r>
    </w:p>
    <w:p w14:paraId="7D96895C">
      <w:pPr>
        <w:widowControl/>
        <w:numPr>
          <w:ilvl w:val="0"/>
          <w:numId w:val="4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样本洗脱：50μl 试剂H2加入到EnrichmentTip（富集柱）中，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000g离心5min；</w:t>
      </w:r>
    </w:p>
    <w:p w14:paraId="6D55E3C4">
      <w:pPr>
        <w:widowControl/>
        <w:numPr>
          <w:ilvl w:val="0"/>
          <w:numId w:val="4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真空离心浓缩仪浓缩样本（建议&lt; 30℃）。</w:t>
      </w:r>
    </w:p>
    <w:p w14:paraId="1170F06D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 注意事项</w:t>
      </w:r>
    </w:p>
    <w:p w14:paraId="1CA33F6D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试剂0和试剂A低温下会析出，建议使用前置于水浴锅中（37-50℃）放置10min，待结晶重新溶解后混合均匀使用；</w:t>
      </w:r>
    </w:p>
    <w:p w14:paraId="2A8E3F52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使用低吸附离心管，最大限度的提高样本回收率；</w:t>
      </w:r>
    </w:p>
    <w:p w14:paraId="59E1E318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酶解结束后加入试剂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C可能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有沉淀出现，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可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高速离心后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再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进行后续实验；</w:t>
      </w:r>
    </w:p>
    <w:p w14:paraId="2B94CF15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样本比较难消化酶解时可适当加长酶解时间；</w:t>
      </w:r>
    </w:p>
    <w:p w14:paraId="540B3EDB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酶解后样本如不能及时进行后续脱盐处理，可-80℃存放2周；</w:t>
      </w:r>
    </w:p>
    <w:p w14:paraId="1CBA78F2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避免样品污染及皮肤直接接触试剂，实验时戴好手套、口罩。</w:t>
      </w:r>
    </w:p>
    <w:p w14:paraId="2A9858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1"/>
        <w:gridCol w:w="2451"/>
      </w:tblGrid>
      <w:tr w14:paraId="02EE5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6071" w:type="dxa"/>
            <w:noWrap w:val="0"/>
            <w:vAlign w:val="top"/>
          </w:tcPr>
          <w:p w14:paraId="527133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  <w:drawing>
                <wp:inline distT="0" distB="0" distL="114300" distR="114300">
                  <wp:extent cx="666115" cy="666115"/>
                  <wp:effectExtent l="0" t="0" r="4445" b="4445"/>
                  <wp:docPr id="6" name="图片 10" descr="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0" descr="code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15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noWrap w:val="0"/>
            <w:vAlign w:val="center"/>
          </w:tcPr>
          <w:p w14:paraId="64BB1C4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官方网站：</w:t>
            </w:r>
            <w:r>
              <w:rPr>
                <w:rStyle w:val="9"/>
                <w:rFonts w:hint="default" w:ascii="Times New Roman" w:hAnsi="Times New Roman" w:eastAsia="微软雅黑" w:cs="Times New Roman"/>
                <w:kern w:val="0"/>
                <w:sz w:val="15"/>
                <w:szCs w:val="15"/>
                <w:lang w:val="en-US" w:eastAsia="zh-CN" w:bidi="ar"/>
              </w:rPr>
              <w:t>www.omicsolution.com</w:t>
            </w:r>
          </w:p>
          <w:p w14:paraId="46CCAA6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若有任何疑问，欢迎</w:t>
            </w:r>
            <w:r>
              <w:rPr>
                <w:rFonts w:hint="eastAsia" w:ascii="Times New Roman" w:hAnsi="Times New Roman" w:eastAsia="微软雅黑" w:cs="Times New Roman"/>
                <w:color w:val="415163"/>
                <w:sz w:val="15"/>
                <w:szCs w:val="15"/>
                <w:lang w:val="en-US" w:eastAsia="zh-CN"/>
              </w:rPr>
              <w:t>发送</w:t>
            </w: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邮件</w:t>
            </w:r>
            <w:r>
              <w:rPr>
                <w:rFonts w:hint="eastAsia" w:ascii="Times New Roman" w:hAnsi="Times New Roman" w:eastAsia="微软雅黑" w:cs="Times New Roman"/>
                <w:color w:val="415163"/>
                <w:sz w:val="15"/>
                <w:szCs w:val="15"/>
                <w:lang w:val="en-US" w:eastAsia="zh-CN"/>
              </w:rPr>
              <w:t>至</w:t>
            </w: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：</w:t>
            </w:r>
          </w:p>
          <w:p w14:paraId="4176F83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微软雅黑" w:cs="Times New Roman"/>
                <w:kern w:val="0"/>
                <w:sz w:val="15"/>
                <w:szCs w:val="15"/>
                <w:lang w:val="en-US" w:eastAsia="zh-CN" w:bidi="ar"/>
              </w:rPr>
              <w:t>support@omicsolution.com</w:t>
            </w:r>
          </w:p>
        </w:tc>
      </w:tr>
    </w:tbl>
    <w:p w14:paraId="34E970F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327" w:right="1406" w:bottom="1157" w:left="1406" w:header="851" w:footer="90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369FCC">
    <w:pPr>
      <w:pStyle w:val="3"/>
      <w:rPr>
        <w:rFonts w:hint="eastAsia"/>
        <w:lang w:eastAsia="zh-CN"/>
      </w:rPr>
    </w:pPr>
    <w:r>
      <w:rPr>
        <w:rFonts w:hint="eastAsia" w:ascii="微软雅黑" w:hAnsi="微软雅黑" w:eastAsia="微软雅黑" w:cs="微软雅黑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635</wp:posOffset>
          </wp:positionH>
          <wp:positionV relativeFrom="page">
            <wp:posOffset>9443085</wp:posOffset>
          </wp:positionV>
          <wp:extent cx="7562215" cy="1247140"/>
          <wp:effectExtent l="0" t="0" r="635" b="635"/>
          <wp:wrapNone/>
          <wp:docPr id="8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 flipV="1">
                    <a:off x="0" y="0"/>
                    <a:ext cx="7562215" cy="1247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微软雅黑" w:hAnsi="微软雅黑" w:eastAsia="微软雅黑" w:cs="微软雅黑"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2595245</wp:posOffset>
              </wp:positionH>
              <wp:positionV relativeFrom="paragraph">
                <wp:posOffset>99060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FBDBB46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4.35pt;margin-top:7.8pt;height:144pt;width:144pt;mso-position-horizontal-relative:margin;mso-wrap-style:none;z-index:251662336;mso-width-relative:page;mso-height-relative:page;" filled="f" stroked="f" coordsize="21600,21600" o:gfxdata="UEsDBAoAAAAAAIdO4kAAAAAAAAAAAAAAAAAEAAAAZHJzL1BLAwQUAAAACACHTuJAQaDygtcAAAAK&#10;AQAADwAAAGRycy9kb3ducmV2LnhtbE2Py07DMBBF90j8gzVI7KhdUkIb4lSiIiyRaFiwdONpEvAj&#10;st00/D3Dii5n7tGdM+V2toZNGOLgnYTlQgBD13o9uE7CR1PfrYHFpJxWxjuU8IMRttX1VakK7c/u&#10;Had96hiVuFgoCX1KY8F5bHu0Ki78iI6yow9WJRpDx3VQZyq3ht8LkXOrBkcXejXirsf2e3+yEnZ1&#10;04QJYzCf+FpnX2/PK3yZpby9WYonYAnn9A/Dnz6pQ0VOB39yOjIjYSXWj4RS8JADIyDf5LQ4SMhE&#10;lgOvSn75QvULUEsDBBQAAAAIAIdO4kB7c0M1NwIAAHEEAAAOAAAAZHJzL2Uyb0RvYy54bWytVM2O&#10;0zAQviPxDpbvNG0Rq6pquipbFSFV7EoFcXYdp4nkP9luk/IA8AacuHDnufocfHaSLlo47IGLM/aM&#10;v5nvm3EWt62S5CScr43O6WQ0pkRobopaH3L66ePm1YwSH5gumDRa5PQsPL1dvnyxaOxcTE1lZCEc&#10;AYj288bmtArBzrPM80oo5kfGCg1naZxiAVt3yArHGqArmU3H45usMa6wznDhPU7XnZP2iO45gKYs&#10;ay7Whh+V0KFDdUKyAEq+qq2ny1RtWQoe7svSi0BkTsE0pBVJYO/jmi0XbH5wzFY170tgzynhCSfF&#10;ao2kV6g1C4wcXf0XlKq5M96UYcSNyjoiSRGwmIyfaLOrmBWJC6T29iq6/3+w/MPpwZG6wCRMKNFM&#10;oeOX798uP35dfn4lOINAjfVzxO0sIkP71rQIHs49DiPvtnQqfsGIwA95z1d5RRsIj5dm09lsDBeH&#10;b9gAP3u8bp0P74RRJBo5dehfkpWdtj50oUNIzKbNppYy9VBq0uT05vWbcbpw9QBc6hgr0jT0MJFS&#10;V3q0Qrtve557U5xB05luUrzlmxqlbJkPD8xhNFA+Hk+4x1JKg5SmtyipjPvyr/MYj47BS0mDUcup&#10;xsuiRL7X6CQAw2C4wdgPhj6qO4PZRXNQSzJxwQU5mKUz6jNe1CrmgItpjkw5DYN5F7pxx4vkYrVK&#10;QUfr6kPVXcAcWha2emd5TBOl8nZ1DJA2KR4F6lRBp+IGk5h61r+aOOp/7lPU459i+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BoPKC1wAAAAoBAAAPAAAAAAAAAAEAIAAAACIAAABkcnMvZG93bnJl&#10;di54bWxQSwECFAAUAAAACACHTuJAe3NDNTcCAABxBAAADgAAAAAAAAABACAAAAAm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BDBB46"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A9DA8">
    <w:pPr>
      <w:pStyle w:val="4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-1270</wp:posOffset>
          </wp:positionH>
          <wp:positionV relativeFrom="page">
            <wp:posOffset>-6350</wp:posOffset>
          </wp:positionV>
          <wp:extent cx="7558405" cy="1357630"/>
          <wp:effectExtent l="0" t="0" r="4445" b="4445"/>
          <wp:wrapNone/>
          <wp:docPr id="7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8405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911860"/>
          <wp:effectExtent l="1487170" t="0" r="1548130" b="0"/>
          <wp:wrapNone/>
          <wp:docPr id="9" name="WordPictureWatermark3966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ordPictureWatermark39663" descr="logo"/>
                  <pic:cNvPicPr>
                    <a:picLocks noChangeAspect="1"/>
                  </pic:cNvPicPr>
                </pic:nvPicPr>
                <pic:blipFill>
                  <a:blip r:embed="rId2">
                    <a:lum bright="69998" contrast="-70001"/>
                  </a:blip>
                  <a:stretch>
                    <a:fillRect/>
                  </a:stretch>
                </pic:blipFill>
                <pic:spPr>
                  <a:xfrm rot="-2700000">
                    <a:off x="0" y="0"/>
                    <a:ext cx="5274310" cy="911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2A7489"/>
    <w:multiLevelType w:val="singleLevel"/>
    <w:tmpl w:val="842A7489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70C61D9"/>
    <w:multiLevelType w:val="singleLevel"/>
    <w:tmpl w:val="970C61D9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B7E1CEB6"/>
    <w:multiLevelType w:val="singleLevel"/>
    <w:tmpl w:val="B7E1CEB6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D0856594"/>
    <w:multiLevelType w:val="singleLevel"/>
    <w:tmpl w:val="D0856594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4EB15633"/>
    <w:multiLevelType w:val="singleLevel"/>
    <w:tmpl w:val="4EB15633"/>
    <w:lvl w:ilvl="0" w:tentative="0">
      <w:start w:val="1"/>
      <w:numFmt w:val="decimal"/>
      <w:suff w:val="space"/>
      <w:lvlText w:val="%1.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4MmJmZWM4N2NmNzM0ODc5NTJkMGZhNzZhNmI2ZDgifQ=="/>
  </w:docVars>
  <w:rsids>
    <w:rsidRoot w:val="00000000"/>
    <w:rsid w:val="04E333E9"/>
    <w:rsid w:val="06314672"/>
    <w:rsid w:val="06F04422"/>
    <w:rsid w:val="07AC4686"/>
    <w:rsid w:val="07B3088D"/>
    <w:rsid w:val="090C572E"/>
    <w:rsid w:val="0A3978DC"/>
    <w:rsid w:val="0BE300B2"/>
    <w:rsid w:val="0C544FDB"/>
    <w:rsid w:val="0FB16922"/>
    <w:rsid w:val="0FF57007"/>
    <w:rsid w:val="121C0AD1"/>
    <w:rsid w:val="13AC0DFB"/>
    <w:rsid w:val="16447CBE"/>
    <w:rsid w:val="19597B78"/>
    <w:rsid w:val="1AE65BB0"/>
    <w:rsid w:val="1BAF4D2D"/>
    <w:rsid w:val="1D2737FF"/>
    <w:rsid w:val="1D8A5DBF"/>
    <w:rsid w:val="1EFC5E1C"/>
    <w:rsid w:val="20A33ED0"/>
    <w:rsid w:val="22C33386"/>
    <w:rsid w:val="22F82113"/>
    <w:rsid w:val="239D478B"/>
    <w:rsid w:val="23E15A7C"/>
    <w:rsid w:val="26DD6DF2"/>
    <w:rsid w:val="28234EC6"/>
    <w:rsid w:val="291476A5"/>
    <w:rsid w:val="2A7D10E7"/>
    <w:rsid w:val="2C8C750C"/>
    <w:rsid w:val="2FFA371C"/>
    <w:rsid w:val="306744D1"/>
    <w:rsid w:val="30926BF3"/>
    <w:rsid w:val="30B25E12"/>
    <w:rsid w:val="31453005"/>
    <w:rsid w:val="323C2095"/>
    <w:rsid w:val="33C33A93"/>
    <w:rsid w:val="33ED09D1"/>
    <w:rsid w:val="344F3FA7"/>
    <w:rsid w:val="36DC77FF"/>
    <w:rsid w:val="37A367C3"/>
    <w:rsid w:val="380635D5"/>
    <w:rsid w:val="392B5073"/>
    <w:rsid w:val="3AC710EC"/>
    <w:rsid w:val="3D2C6E4B"/>
    <w:rsid w:val="3EA24AA2"/>
    <w:rsid w:val="3F8F6DDC"/>
    <w:rsid w:val="41412BA9"/>
    <w:rsid w:val="41EA4FEF"/>
    <w:rsid w:val="428B180F"/>
    <w:rsid w:val="42967865"/>
    <w:rsid w:val="42F655C2"/>
    <w:rsid w:val="46F815B1"/>
    <w:rsid w:val="48007487"/>
    <w:rsid w:val="4AFE57FC"/>
    <w:rsid w:val="4B5C0D0B"/>
    <w:rsid w:val="4C886703"/>
    <w:rsid w:val="4CD6777F"/>
    <w:rsid w:val="4D5A3970"/>
    <w:rsid w:val="4E190D2A"/>
    <w:rsid w:val="507C6D9B"/>
    <w:rsid w:val="50A867A1"/>
    <w:rsid w:val="514021CD"/>
    <w:rsid w:val="52A5300F"/>
    <w:rsid w:val="57FD7C8E"/>
    <w:rsid w:val="60546E99"/>
    <w:rsid w:val="60A74B67"/>
    <w:rsid w:val="60F90299"/>
    <w:rsid w:val="618E509A"/>
    <w:rsid w:val="63A47486"/>
    <w:rsid w:val="63F70CE7"/>
    <w:rsid w:val="653023EC"/>
    <w:rsid w:val="6C9322A6"/>
    <w:rsid w:val="6CC94E87"/>
    <w:rsid w:val="6D0916E0"/>
    <w:rsid w:val="6E267FE1"/>
    <w:rsid w:val="6ED23253"/>
    <w:rsid w:val="6EFA013F"/>
    <w:rsid w:val="712B349A"/>
    <w:rsid w:val="71A4002C"/>
    <w:rsid w:val="72A51457"/>
    <w:rsid w:val="749E6B20"/>
    <w:rsid w:val="75BE509E"/>
    <w:rsid w:val="77416E84"/>
    <w:rsid w:val="785B416F"/>
    <w:rsid w:val="7AF516A8"/>
    <w:rsid w:val="7BE1301A"/>
    <w:rsid w:val="7CCC3CFD"/>
    <w:rsid w:val="7CE61495"/>
    <w:rsid w:val="7D1909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png"/><Relationship Id="rId8" Type="http://schemas.openxmlformats.org/officeDocument/2006/relationships/image" Target="media/image6.png"/><Relationship Id="rId7" Type="http://schemas.openxmlformats.org/officeDocument/2006/relationships/image" Target="media/image5.png"/><Relationship Id="rId6" Type="http://schemas.openxmlformats.org/officeDocument/2006/relationships/image" Target="media/image4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1.jpeg"/><Relationship Id="rId12" Type="http://schemas.openxmlformats.org/officeDocument/2006/relationships/image" Target="media/image10.png"/><Relationship Id="rId11" Type="http://schemas.openxmlformats.org/officeDocument/2006/relationships/image" Target="media/image9.png"/><Relationship Id="rId10" Type="http://schemas.microsoft.com/office/2007/relationships/hdphoto" Target="media/image8.wdp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1994</Words>
  <Characters>2680</Characters>
  <Lines>0</Lines>
  <Paragraphs>0</Paragraphs>
  <TotalTime>0</TotalTime>
  <ScaleCrop>false</ScaleCrop>
  <LinksUpToDate>false</LinksUpToDate>
  <CharactersWithSpaces>2753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2022-03-28T04:49:00Z</dcterms:created>
  <dc:creator>omicsolution</dc:creator>
  <cp:lastModifiedBy>＄@＃</cp:lastModifiedBy>
  <cp:lastPrinted>2024-10-15T09:20:00Z</cp:lastPrinted>
  <dcterms:modified xsi:type="dcterms:W3CDTF">2026-06-10T01:10:29Z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6CC6CE92844D4362B4A6FDE4A09CAC83_13</vt:lpwstr>
  </property>
  <property fmtid="{D5CDD505-2E9C-101B-9397-08002B2CF9AE}" pid="4" name="KSOTemplateDocerSaveRecord">
    <vt:lpwstr>eyJoZGlkIjoiNGE4MmJmZWM4N2NmNzM0ODc5NTJkMGZhNzZhNmI2ZDgiLCJ1c2VySWQiOiI2OTYyMTYzMjYifQ==</vt:lpwstr>
  </property>
</Properties>
</file>