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66282">
      <w:pPr>
        <w:jc w:val="center"/>
        <w:rPr>
          <w:rFonts w:hint="eastAsia" w:ascii="微软雅黑" w:hAnsi="微软雅黑" w:eastAsia="微软雅黑" w:cs="微软雅黑"/>
          <w:b/>
          <w:bCs/>
          <w:sz w:val="32"/>
          <w:szCs w:val="32"/>
        </w:rPr>
      </w:pPr>
      <w:bookmarkStart w:id="2" w:name="_GoBack"/>
      <w:bookmarkEnd w:id="2"/>
      <w:r>
        <w:rPr>
          <w:rFonts w:hint="eastAsia" w:ascii="微软雅黑" w:hAnsi="微软雅黑" w:eastAsia="微软雅黑" w:cs="微软雅黑"/>
          <w:b/>
          <w:bCs/>
          <w:sz w:val="32"/>
          <w:szCs w:val="32"/>
        </w:rPr>
        <w:t>易肽</w:t>
      </w:r>
      <w:r>
        <w:rPr>
          <w:rFonts w:hint="eastAsia" w:ascii="微软雅黑" w:hAnsi="微软雅黑" w:eastAsia="微软雅黑" w:cs="微软雅黑"/>
          <w:b/>
          <w:bCs/>
          <w:sz w:val="32"/>
          <w:szCs w:val="32"/>
          <w:lang w:val="en-US" w:eastAsia="zh-CN"/>
        </w:rPr>
        <w:t>FFPE-Micro</w:t>
      </w:r>
      <w:r>
        <w:rPr>
          <w:rFonts w:hint="eastAsia" w:ascii="微软雅黑" w:hAnsi="微软雅黑" w:eastAsia="微软雅黑" w:cs="微软雅黑"/>
          <w:b/>
          <w:bCs/>
          <w:sz w:val="32"/>
          <w:szCs w:val="32"/>
        </w:rPr>
        <w:t>前处理制备试剂盒</w:t>
      </w:r>
    </w:p>
    <w:p w14:paraId="22F35F05">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货号：OSFP0006  规格：48x  版本号：V20260609</w:t>
      </w:r>
    </w:p>
    <w:p w14:paraId="7376F465">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522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2"/>
        <w:gridCol w:w="1519"/>
        <w:gridCol w:w="4786"/>
        <w:gridCol w:w="1409"/>
      </w:tblGrid>
      <w:tr w14:paraId="7C539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single" w:color="auto" w:sz="6" w:space="0"/>
              <w:bottom w:val="single" w:color="auto" w:sz="6" w:space="0"/>
            </w:tcBorders>
            <w:noWrap w:val="0"/>
            <w:vAlign w:val="center"/>
          </w:tcPr>
          <w:p w14:paraId="0149B646">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31" w:type="pct"/>
            <w:tcBorders>
              <w:top w:val="single" w:color="auto" w:sz="6" w:space="0"/>
              <w:bottom w:val="single" w:color="auto" w:sz="6" w:space="0"/>
            </w:tcBorders>
            <w:noWrap w:val="0"/>
            <w:vAlign w:val="center"/>
          </w:tcPr>
          <w:p w14:paraId="6FBDD358">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619" w:type="pct"/>
            <w:tcBorders>
              <w:top w:val="single" w:color="auto" w:sz="6" w:space="0"/>
              <w:bottom w:val="single" w:color="auto" w:sz="6" w:space="0"/>
            </w:tcBorders>
            <w:noWrap w:val="0"/>
            <w:vAlign w:val="center"/>
          </w:tcPr>
          <w:p w14:paraId="32FFD68E">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771" w:type="pct"/>
            <w:tcBorders>
              <w:top w:val="single" w:color="auto" w:sz="6" w:space="0"/>
              <w:bottom w:val="single" w:color="auto" w:sz="6" w:space="0"/>
            </w:tcBorders>
            <w:noWrap w:val="0"/>
            <w:vAlign w:val="center"/>
          </w:tcPr>
          <w:p w14:paraId="2ECD9402">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634E7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640D29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 xml:space="preserve">试剂0 </w:t>
            </w:r>
            <w:r>
              <w:rPr>
                <w:rFonts w:hint="default" w:ascii="Times New Roman" w:hAnsi="Times New Roman" w:eastAsia="微软雅黑" w:cs="Times New Roman"/>
                <w:b w:val="0"/>
                <w:bCs w:val="0"/>
                <w:color w:val="FFFF00"/>
                <w:sz w:val="18"/>
                <w:szCs w:val="18"/>
                <w:vertAlign w:val="baseline"/>
                <w:lang w:val="en-US" w:eastAsia="zh-CN"/>
              </w:rPr>
              <w:t xml:space="preserve">● </w:t>
            </w:r>
          </w:p>
        </w:tc>
        <w:tc>
          <w:tcPr>
            <w:tcW w:w="831" w:type="pct"/>
            <w:tcBorders>
              <w:top w:val="nil"/>
              <w:bottom w:val="nil"/>
            </w:tcBorders>
            <w:noWrap w:val="0"/>
            <w:vAlign w:val="center"/>
          </w:tcPr>
          <w:p w14:paraId="20A331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 xml:space="preserve">10 </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19" w:type="pct"/>
            <w:tcBorders>
              <w:top w:val="nil"/>
              <w:bottom w:val="nil"/>
            </w:tcBorders>
            <w:noWrap w:val="0"/>
            <w:vAlign w:val="center"/>
          </w:tcPr>
          <w:p w14:paraId="74C060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裂解液，用于蛋白裂解</w:t>
            </w:r>
          </w:p>
        </w:tc>
        <w:tc>
          <w:tcPr>
            <w:tcW w:w="771" w:type="pct"/>
            <w:tcBorders>
              <w:top w:val="nil"/>
              <w:bottom w:val="nil"/>
            </w:tcBorders>
            <w:noWrap w:val="0"/>
            <w:vAlign w:val="center"/>
          </w:tcPr>
          <w:p w14:paraId="53A518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126D6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21F5506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31" w:type="pct"/>
            <w:tcBorders>
              <w:top w:val="nil"/>
              <w:bottom w:val="nil"/>
            </w:tcBorders>
            <w:noWrap w:val="0"/>
            <w:vAlign w:val="center"/>
          </w:tcPr>
          <w:p w14:paraId="4F9DFE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550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6</w:t>
            </w:r>
          </w:p>
        </w:tc>
        <w:tc>
          <w:tcPr>
            <w:tcW w:w="2619" w:type="pct"/>
            <w:tcBorders>
              <w:top w:val="nil"/>
              <w:bottom w:val="nil"/>
            </w:tcBorders>
            <w:noWrap w:val="0"/>
            <w:vAlign w:val="center"/>
          </w:tcPr>
          <w:p w14:paraId="4798B2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还原烷基化，蛋白质还原烷基化</w:t>
            </w:r>
          </w:p>
        </w:tc>
        <w:tc>
          <w:tcPr>
            <w:tcW w:w="771" w:type="pct"/>
            <w:tcBorders>
              <w:top w:val="nil"/>
              <w:bottom w:val="nil"/>
            </w:tcBorders>
            <w:noWrap w:val="0"/>
            <w:vAlign w:val="center"/>
          </w:tcPr>
          <w:p w14:paraId="71D3F4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30403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376D56A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31" w:type="pct"/>
            <w:tcBorders>
              <w:top w:val="nil"/>
              <w:bottom w:val="nil"/>
            </w:tcBorders>
            <w:noWrap w:val="0"/>
            <w:vAlign w:val="center"/>
          </w:tcPr>
          <w:p w14:paraId="4F91FF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140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6</w:t>
            </w:r>
          </w:p>
        </w:tc>
        <w:tc>
          <w:tcPr>
            <w:tcW w:w="2619" w:type="pct"/>
            <w:tcBorders>
              <w:top w:val="nil"/>
              <w:bottom w:val="nil"/>
            </w:tcBorders>
            <w:noWrap w:val="0"/>
            <w:vAlign w:val="center"/>
          </w:tcPr>
          <w:p w14:paraId="634C64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71" w:type="pct"/>
            <w:tcBorders>
              <w:top w:val="nil"/>
              <w:bottom w:val="nil"/>
            </w:tcBorders>
            <w:noWrap w:val="0"/>
            <w:vAlign w:val="center"/>
          </w:tcPr>
          <w:p w14:paraId="668B4E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580E5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jc w:val="center"/>
        </w:trPr>
        <w:tc>
          <w:tcPr>
            <w:tcW w:w="778" w:type="pct"/>
            <w:tcBorders>
              <w:top w:val="nil"/>
              <w:bottom w:val="nil"/>
            </w:tcBorders>
            <w:noWrap w:val="0"/>
            <w:vAlign w:val="center"/>
          </w:tcPr>
          <w:p w14:paraId="65D35BC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31" w:type="pct"/>
            <w:tcBorders>
              <w:top w:val="nil"/>
              <w:bottom w:val="nil"/>
            </w:tcBorders>
            <w:noWrap w:val="0"/>
            <w:vAlign w:val="center"/>
          </w:tcPr>
          <w:p w14:paraId="0E6D7E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1.7</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3</w:t>
            </w:r>
          </w:p>
        </w:tc>
        <w:tc>
          <w:tcPr>
            <w:tcW w:w="2619" w:type="pct"/>
            <w:tcBorders>
              <w:top w:val="nil"/>
              <w:bottom w:val="nil"/>
            </w:tcBorders>
            <w:noWrap w:val="0"/>
            <w:vAlign w:val="center"/>
          </w:tcPr>
          <w:p w14:paraId="5060F5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71" w:type="pct"/>
            <w:tcBorders>
              <w:top w:val="nil"/>
              <w:bottom w:val="nil"/>
            </w:tcBorders>
            <w:noWrap w:val="0"/>
            <w:vAlign w:val="center"/>
          </w:tcPr>
          <w:p w14:paraId="6B13B7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1E77D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720C290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WASH 0</w:t>
            </w:r>
            <w:r>
              <w:rPr>
                <w:rFonts w:hint="default" w:ascii="Times New Roman" w:hAnsi="Times New Roman" w:eastAsia="微软雅黑" w:cs="Times New Roman"/>
                <w:b w:val="0"/>
                <w:bCs w:val="0"/>
                <w:color w:val="5D838E"/>
                <w:sz w:val="18"/>
                <w:szCs w:val="18"/>
                <w:highlight w:val="none"/>
                <w:shd w:val="clear" w:color="auto" w:fill="FFFFFF"/>
                <w:vertAlign w:val="baseline"/>
                <w:lang w:val="en-US" w:eastAsia="zh-CN"/>
              </w:rPr>
              <w:t>●</w:t>
            </w:r>
          </w:p>
        </w:tc>
        <w:tc>
          <w:tcPr>
            <w:tcW w:w="831" w:type="pct"/>
            <w:tcBorders>
              <w:top w:val="nil"/>
              <w:bottom w:val="nil"/>
            </w:tcBorders>
            <w:noWrap w:val="0"/>
            <w:vAlign w:val="center"/>
          </w:tcPr>
          <w:p w14:paraId="2D4EFA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12m</w:t>
            </w:r>
            <w:r>
              <w:rPr>
                <w:rFonts w:hint="default" w:ascii="Times New Roman" w:hAnsi="Times New Roman" w:eastAsia="微软雅黑" w:cs="Times New Roman"/>
                <w:b w:val="0"/>
                <w:bCs w:val="0"/>
                <w:sz w:val="18"/>
                <w:szCs w:val="18"/>
                <w:vertAlign w:val="baseline"/>
                <w:lang w:val="en-US" w:eastAsia="zh-CN"/>
              </w:rPr>
              <w:t>l*1</w:t>
            </w:r>
          </w:p>
        </w:tc>
        <w:tc>
          <w:tcPr>
            <w:tcW w:w="2619" w:type="pct"/>
            <w:tcBorders>
              <w:top w:val="nil"/>
              <w:bottom w:val="nil"/>
            </w:tcBorders>
            <w:noWrap w:val="0"/>
            <w:vAlign w:val="center"/>
          </w:tcPr>
          <w:p w14:paraId="3C9875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kern w:val="2"/>
                <w:sz w:val="18"/>
                <w:szCs w:val="18"/>
                <w:lang w:val="en-US" w:eastAsia="zh-CN" w:bidi="ar-SA"/>
              </w:rPr>
              <w:t>肽段清洗试剂，去除掉多余的石蜡</w:t>
            </w:r>
          </w:p>
        </w:tc>
        <w:tc>
          <w:tcPr>
            <w:tcW w:w="771" w:type="pct"/>
            <w:tcBorders>
              <w:top w:val="nil"/>
              <w:bottom w:val="nil"/>
            </w:tcBorders>
            <w:noWrap w:val="0"/>
            <w:vAlign w:val="center"/>
          </w:tcPr>
          <w:p w14:paraId="7761F4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kern w:val="2"/>
                <w:sz w:val="18"/>
                <w:szCs w:val="18"/>
                <w:lang w:val="en-US" w:eastAsia="zh-CN" w:bidi="ar-SA"/>
              </w:rPr>
              <w:t>常温</w:t>
            </w:r>
          </w:p>
        </w:tc>
      </w:tr>
      <w:tr w14:paraId="3F6C8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4F89459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bookmarkStart w:id="0" w:name="OLE_LINK3"/>
            <w:r>
              <w:rPr>
                <w:rFonts w:hint="default" w:ascii="Times New Roman" w:hAnsi="Times New Roman" w:eastAsia="微软雅黑" w:cs="Times New Roman"/>
                <w:b w:val="0"/>
                <w:bCs w:val="0"/>
                <w:color w:val="00B0F0"/>
                <w:sz w:val="18"/>
                <w:szCs w:val="18"/>
                <w:vertAlign w:val="baseline"/>
                <w:lang w:val="en-US" w:eastAsia="zh-CN"/>
              </w:rPr>
              <w:t>●</w:t>
            </w:r>
            <w:bookmarkEnd w:id="0"/>
          </w:p>
        </w:tc>
        <w:tc>
          <w:tcPr>
            <w:tcW w:w="831" w:type="pct"/>
            <w:tcBorders>
              <w:top w:val="nil"/>
              <w:bottom w:val="nil"/>
            </w:tcBorders>
            <w:noWrap w:val="0"/>
            <w:vAlign w:val="center"/>
          </w:tcPr>
          <w:p w14:paraId="0829BA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19" w:type="pct"/>
            <w:tcBorders>
              <w:top w:val="nil"/>
              <w:bottom w:val="nil"/>
            </w:tcBorders>
            <w:noWrap w:val="0"/>
            <w:vAlign w:val="center"/>
          </w:tcPr>
          <w:p w14:paraId="7A50FE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肽段清洗试剂1，清洗肽段</w:t>
            </w:r>
          </w:p>
        </w:tc>
        <w:tc>
          <w:tcPr>
            <w:tcW w:w="771" w:type="pct"/>
            <w:tcBorders>
              <w:top w:val="nil"/>
              <w:bottom w:val="nil"/>
            </w:tcBorders>
            <w:noWrap w:val="0"/>
            <w:vAlign w:val="center"/>
          </w:tcPr>
          <w:p w14:paraId="0A1CAC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3B4AF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64CE7E8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bookmarkStart w:id="1" w:name="OLE_LINK1"/>
            <w:r>
              <w:rPr>
                <w:rFonts w:hint="default" w:ascii="Times New Roman" w:hAnsi="Times New Roman" w:eastAsia="微软雅黑" w:cs="Times New Roman"/>
                <w:b w:val="0"/>
                <w:bCs w:val="0"/>
                <w:color w:val="2B8313"/>
                <w:sz w:val="18"/>
                <w:szCs w:val="18"/>
                <w:vertAlign w:val="baseline"/>
                <w:lang w:val="en-US" w:eastAsia="zh-CN"/>
              </w:rPr>
              <w:t>●</w:t>
            </w:r>
            <w:bookmarkEnd w:id="1"/>
          </w:p>
        </w:tc>
        <w:tc>
          <w:tcPr>
            <w:tcW w:w="831" w:type="pct"/>
            <w:tcBorders>
              <w:top w:val="nil"/>
              <w:bottom w:val="nil"/>
            </w:tcBorders>
            <w:noWrap w:val="0"/>
            <w:vAlign w:val="center"/>
          </w:tcPr>
          <w:p w14:paraId="4D8029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10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19" w:type="pct"/>
            <w:tcBorders>
              <w:top w:val="nil"/>
              <w:bottom w:val="nil"/>
            </w:tcBorders>
            <w:noWrap w:val="0"/>
            <w:vAlign w:val="center"/>
          </w:tcPr>
          <w:p w14:paraId="36A5D9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肽段清洗试剂2，清洗肽段</w:t>
            </w:r>
          </w:p>
        </w:tc>
        <w:tc>
          <w:tcPr>
            <w:tcW w:w="771" w:type="pct"/>
            <w:tcBorders>
              <w:top w:val="nil"/>
              <w:bottom w:val="nil"/>
            </w:tcBorders>
            <w:noWrap w:val="0"/>
            <w:vAlign w:val="center"/>
          </w:tcPr>
          <w:p w14:paraId="237D91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7AA3A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4B91ABB1">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 xml:space="preserve">试剂F </w:t>
            </w:r>
            <w:r>
              <w:rPr>
                <w:rFonts w:hint="default" w:ascii="Times New Roman" w:hAnsi="Times New Roman" w:eastAsia="微软雅黑" w:cs="Times New Roman"/>
                <w:b w:val="0"/>
                <w:bCs w:val="0"/>
                <w:color w:val="C824AB"/>
                <w:sz w:val="21"/>
                <w:szCs w:val="21"/>
                <w:vertAlign w:val="baseline"/>
                <w:lang w:val="en-US" w:eastAsia="zh-CN"/>
              </w:rPr>
              <w:t>●</w:t>
            </w:r>
          </w:p>
        </w:tc>
        <w:tc>
          <w:tcPr>
            <w:tcW w:w="831" w:type="pct"/>
            <w:tcBorders>
              <w:top w:val="nil"/>
              <w:bottom w:val="nil"/>
            </w:tcBorders>
            <w:noWrap w:val="0"/>
            <w:vAlign w:val="center"/>
          </w:tcPr>
          <w:p w14:paraId="5FA3B6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b w:val="0"/>
                <w:bCs w:val="0"/>
                <w:sz w:val="18"/>
                <w:szCs w:val="18"/>
                <w:vertAlign w:val="baseline"/>
                <w:lang w:val="en-US" w:eastAsia="zh-CN"/>
              </w:rPr>
              <w:t>1.7</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3</w:t>
            </w:r>
          </w:p>
        </w:tc>
        <w:tc>
          <w:tcPr>
            <w:tcW w:w="2619" w:type="pct"/>
            <w:tcBorders>
              <w:top w:val="nil"/>
              <w:bottom w:val="nil"/>
            </w:tcBorders>
            <w:noWrap w:val="0"/>
            <w:vAlign w:val="center"/>
          </w:tcPr>
          <w:p w14:paraId="559333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肽段洗脱试剂</w:t>
            </w:r>
          </w:p>
        </w:tc>
        <w:tc>
          <w:tcPr>
            <w:tcW w:w="771" w:type="pct"/>
            <w:tcBorders>
              <w:top w:val="nil"/>
              <w:bottom w:val="nil"/>
            </w:tcBorders>
            <w:noWrap w:val="0"/>
            <w:vAlign w:val="center"/>
          </w:tcPr>
          <w:p w14:paraId="670225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常温</w:t>
            </w:r>
          </w:p>
        </w:tc>
      </w:tr>
      <w:tr w14:paraId="78281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778" w:type="pct"/>
            <w:tcBorders>
              <w:top w:val="nil"/>
              <w:bottom w:val="nil"/>
            </w:tcBorders>
            <w:noWrap w:val="0"/>
            <w:vAlign w:val="center"/>
          </w:tcPr>
          <w:p w14:paraId="2BC0187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Cartridge</w:t>
            </w:r>
          </w:p>
        </w:tc>
        <w:tc>
          <w:tcPr>
            <w:tcW w:w="831" w:type="pct"/>
            <w:tcBorders>
              <w:top w:val="nil"/>
              <w:bottom w:val="nil"/>
            </w:tcBorders>
            <w:noWrap w:val="0"/>
            <w:vAlign w:val="center"/>
          </w:tcPr>
          <w:p w14:paraId="51BE9E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30 μg载量*</w:t>
            </w:r>
            <w:r>
              <w:rPr>
                <w:rFonts w:hint="eastAsia" w:ascii="Times New Roman" w:hAnsi="Times New Roman" w:eastAsia="微软雅黑" w:cs="Times New Roman"/>
                <w:b w:val="0"/>
                <w:bCs w:val="0"/>
                <w:sz w:val="18"/>
                <w:szCs w:val="18"/>
                <w:vertAlign w:val="baseline"/>
                <w:lang w:val="en-US" w:eastAsia="zh-CN"/>
              </w:rPr>
              <w:t>48</w:t>
            </w:r>
          </w:p>
        </w:tc>
        <w:tc>
          <w:tcPr>
            <w:tcW w:w="2619" w:type="pct"/>
            <w:tcBorders>
              <w:top w:val="nil"/>
              <w:bottom w:val="nil"/>
            </w:tcBorders>
            <w:noWrap w:val="0"/>
            <w:vAlign w:val="center"/>
          </w:tcPr>
          <w:p w14:paraId="0E4766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肽段脱盐</w:t>
            </w:r>
          </w:p>
        </w:tc>
        <w:tc>
          <w:tcPr>
            <w:tcW w:w="771" w:type="pct"/>
            <w:tcBorders>
              <w:top w:val="nil"/>
              <w:bottom w:val="nil"/>
            </w:tcBorders>
            <w:noWrap w:val="0"/>
            <w:vAlign w:val="center"/>
          </w:tcPr>
          <w:p w14:paraId="39DCC1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2D335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single" w:color="auto" w:sz="4" w:space="0"/>
            </w:tcBorders>
            <w:noWrap w:val="0"/>
            <w:vAlign w:val="center"/>
          </w:tcPr>
          <w:p w14:paraId="4005D3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Adaptor</w:t>
            </w:r>
          </w:p>
        </w:tc>
        <w:tc>
          <w:tcPr>
            <w:tcW w:w="831" w:type="pct"/>
            <w:tcBorders>
              <w:top w:val="nil"/>
              <w:bottom w:val="single" w:color="auto" w:sz="4" w:space="0"/>
            </w:tcBorders>
            <w:noWrap w:val="0"/>
            <w:vAlign w:val="center"/>
          </w:tcPr>
          <w:p w14:paraId="697169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24</w:t>
            </w:r>
          </w:p>
        </w:tc>
        <w:tc>
          <w:tcPr>
            <w:tcW w:w="2619" w:type="pct"/>
            <w:tcBorders>
              <w:top w:val="nil"/>
              <w:bottom w:val="single" w:color="auto" w:sz="4" w:space="0"/>
            </w:tcBorders>
            <w:noWrap w:val="0"/>
            <w:vAlign w:val="center"/>
          </w:tcPr>
          <w:p w14:paraId="1208A2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除盐适配器（仅在首次购买试剂盒时附赠一套）</w:t>
            </w:r>
          </w:p>
        </w:tc>
        <w:tc>
          <w:tcPr>
            <w:tcW w:w="771" w:type="pct"/>
            <w:tcBorders>
              <w:top w:val="nil"/>
              <w:bottom w:val="single" w:color="auto" w:sz="4" w:space="0"/>
            </w:tcBorders>
            <w:noWrap w:val="0"/>
            <w:vAlign w:val="center"/>
          </w:tcPr>
          <w:p w14:paraId="75A65FE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bl>
    <w:p w14:paraId="6C59F1A8">
      <w:pPr>
        <w:numPr>
          <w:ilvl w:val="0"/>
          <w:numId w:val="0"/>
        </w:numPr>
        <w:spacing w:line="240" w:lineRule="auto"/>
        <w:ind w:leftChars="0"/>
        <w:rPr>
          <w:rFonts w:hint="eastAsia" w:ascii="微软雅黑" w:hAnsi="微软雅黑" w:eastAsia="微软雅黑" w:cs="微软雅黑"/>
          <w:b/>
          <w:bCs/>
          <w:sz w:val="21"/>
          <w:szCs w:val="21"/>
          <w:lang w:val="en-US" w:eastAsia="zh-CN"/>
        </w:rPr>
      </w:pPr>
    </w:p>
    <w:p w14:paraId="047087DD">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37B21DC8">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样品制备是蛋白质组学实验最重要的步骤之一，合适的前处理过程是实验成功的关键。</w:t>
      </w:r>
    </w:p>
    <w:p w14:paraId="077C02AC">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FFPE样本由于含有石蜡需要预先脱蜡，整个过程比较繁琐且不好操作。易肽FFPE-Micro前处理制备试剂盒旨在以较少的样品制备步骤和较短的操作时间以获得最佳的实验结果。适用于各类FFPE样本，制备过程充分体现出其高通量、高稳健性的优势。该试剂盒提供蛋白制备包括蛋白变性、还原烷基化、蛋白酶解、脱蜡以及肽段脱盐过程的相关试剂，不需要先脱蜡后再进行后续的蛋白提取及酶解实验。基于溶液内快速酶解的前处理方法，解决了传统方法样本用量多、试剂成本高、损失大、耗时长的弊端，仅需5-6小时即可完成质谱检测前的所有步骤，且平行性好，以实现微量蛋白的快速制备及蛋白质组深度覆盖检测。</w:t>
      </w:r>
    </w:p>
    <w:p w14:paraId="2A3DBE55">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412105" cy="2714625"/>
            <wp:effectExtent l="0" t="0" r="0" b="9525"/>
            <wp:docPr id="1" name="图片 12" descr="OSFP000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OSFP0006-96"/>
                    <pic:cNvPicPr>
                      <a:picLocks noChangeAspect="1"/>
                    </pic:cNvPicPr>
                  </pic:nvPicPr>
                  <pic:blipFill>
                    <a:blip r:embed="rId6"/>
                    <a:stretch>
                      <a:fillRect/>
                    </a:stretch>
                  </pic:blipFill>
                  <pic:spPr>
                    <a:xfrm>
                      <a:off x="0" y="0"/>
                      <a:ext cx="5412105" cy="2714625"/>
                    </a:xfrm>
                    <a:prstGeom prst="rect">
                      <a:avLst/>
                    </a:prstGeom>
                    <a:noFill/>
                    <a:ln>
                      <a:noFill/>
                    </a:ln>
                  </pic:spPr>
                </pic:pic>
              </a:graphicData>
            </a:graphic>
          </wp:inline>
        </w:drawing>
      </w:r>
    </w:p>
    <w:p w14:paraId="043D9B29">
      <w:pPr>
        <w:jc w:val="left"/>
        <w:rPr>
          <w:rFonts w:hint="eastAsia" w:ascii="Times New Roman" w:hAnsi="Times New Roman" w:eastAsia="微软雅黑" w:cs="Times New Roman"/>
          <w:sz w:val="18"/>
          <w:szCs w:val="18"/>
          <w:lang w:val="en-US" w:eastAsia="zh-CN"/>
        </w:rPr>
      </w:pPr>
    </w:p>
    <w:p w14:paraId="16F8373F">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仪器</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1347"/>
        <w:gridCol w:w="5693"/>
      </w:tblGrid>
      <w:tr w14:paraId="2D6D2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6" w:space="0"/>
              <w:bottom w:val="single" w:color="auto" w:sz="4" w:space="0"/>
            </w:tcBorders>
            <w:noWrap w:val="0"/>
            <w:vAlign w:val="center"/>
          </w:tcPr>
          <w:p w14:paraId="2ECD3497">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70" w:type="pct"/>
            <w:tcBorders>
              <w:top w:val="single" w:color="auto" w:sz="6" w:space="0"/>
              <w:bottom w:val="single" w:color="auto" w:sz="4" w:space="0"/>
            </w:tcBorders>
            <w:noWrap w:val="0"/>
            <w:vAlign w:val="center"/>
          </w:tcPr>
          <w:p w14:paraId="7B2FD5D0">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182BE0AD">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12CFF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4" w:space="0"/>
              <w:bottom w:val="nil"/>
            </w:tcBorders>
            <w:noWrap w:val="0"/>
            <w:vAlign w:val="center"/>
          </w:tcPr>
          <w:p w14:paraId="1334B221">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70" w:type="pct"/>
            <w:tcBorders>
              <w:top w:val="single" w:color="auto" w:sz="4" w:space="0"/>
              <w:bottom w:val="nil"/>
            </w:tcBorders>
            <w:noWrap w:val="0"/>
            <w:vAlign w:val="center"/>
          </w:tcPr>
          <w:p w14:paraId="728D3DC3">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10439FFC">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240CA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23FA8358">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770" w:type="pct"/>
            <w:tcBorders>
              <w:top w:val="nil"/>
              <w:bottom w:val="nil"/>
            </w:tcBorders>
            <w:noWrap w:val="0"/>
            <w:vAlign w:val="center"/>
          </w:tcPr>
          <w:p w14:paraId="1A8A34F2">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9600" cy="508000"/>
                  <wp:effectExtent l="0" t="0" r="0" b="635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609600" cy="508000"/>
                          </a:xfrm>
                          <a:prstGeom prst="rect">
                            <a:avLst/>
                          </a:prstGeom>
                          <a:noFill/>
                          <a:ln>
                            <a:noFill/>
                          </a:ln>
                        </pic:spPr>
                      </pic:pic>
                    </a:graphicData>
                  </a:graphic>
                </wp:inline>
              </w:drawing>
            </w:r>
          </w:p>
        </w:tc>
        <w:tc>
          <w:tcPr>
            <w:tcW w:w="3256" w:type="pct"/>
            <w:tcBorders>
              <w:top w:val="nil"/>
              <w:bottom w:val="nil"/>
            </w:tcBorders>
            <w:noWrap w:val="0"/>
            <w:vAlign w:val="center"/>
          </w:tcPr>
          <w:p w14:paraId="5FAACCA1">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32A7D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jc w:val="center"/>
        </w:trPr>
        <w:tc>
          <w:tcPr>
            <w:tcW w:w="973" w:type="pct"/>
            <w:tcBorders>
              <w:top w:val="nil"/>
              <w:bottom w:val="nil"/>
            </w:tcBorders>
            <w:noWrap w:val="0"/>
            <w:vAlign w:val="center"/>
          </w:tcPr>
          <w:p w14:paraId="1B3A98D6">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70" w:type="pct"/>
            <w:tcBorders>
              <w:top w:val="nil"/>
              <w:bottom w:val="nil"/>
            </w:tcBorders>
            <w:noWrap w:val="0"/>
            <w:vAlign w:val="center"/>
          </w:tcPr>
          <w:p w14:paraId="5EF41D8E">
            <w:pPr>
              <w:spacing w:line="240" w:lineRule="auto"/>
              <w:jc w:val="both"/>
              <w:rPr>
                <w:rFonts w:hint="eastAsia" w:ascii="Times New Roman" w:hAnsi="Times New Roman" w:eastAsia="微软雅黑" w:cs="Times New Roman"/>
                <w:sz w:val="18"/>
                <w:szCs w:val="18"/>
                <w:lang w:eastAsia="zh-CN"/>
              </w:rPr>
            </w:pPr>
            <w:r>
              <w:drawing>
                <wp:inline distT="0" distB="0" distL="114300" distR="114300">
                  <wp:extent cx="781685" cy="647065"/>
                  <wp:effectExtent l="0" t="0" r="18415"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781685" cy="647065"/>
                          </a:xfrm>
                          <a:prstGeom prst="rect">
                            <a:avLst/>
                          </a:prstGeom>
                          <a:noFill/>
                          <a:ln>
                            <a:noFill/>
                          </a:ln>
                        </pic:spPr>
                      </pic:pic>
                    </a:graphicData>
                  </a:graphic>
                </wp:inline>
              </w:drawing>
            </w:r>
          </w:p>
        </w:tc>
        <w:tc>
          <w:tcPr>
            <w:tcW w:w="3256" w:type="pct"/>
            <w:tcBorders>
              <w:top w:val="nil"/>
              <w:bottom w:val="nil"/>
            </w:tcBorders>
            <w:noWrap w:val="0"/>
            <w:vAlign w:val="center"/>
          </w:tcPr>
          <w:p w14:paraId="6F352325">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64BDE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113E10C6">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770" w:type="pct"/>
            <w:tcBorders>
              <w:top w:val="nil"/>
              <w:bottom w:val="nil"/>
            </w:tcBorders>
            <w:noWrap w:val="0"/>
            <w:vAlign w:val="center"/>
          </w:tcPr>
          <w:p w14:paraId="2ABFCA3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10"/>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0634CAC9">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40485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jc w:val="center"/>
        </w:trPr>
        <w:tc>
          <w:tcPr>
            <w:tcW w:w="973" w:type="pct"/>
            <w:tcBorders>
              <w:top w:val="nil"/>
              <w:bottom w:val="single" w:color="auto" w:sz="4" w:space="0"/>
            </w:tcBorders>
            <w:noWrap w:val="0"/>
            <w:vAlign w:val="center"/>
          </w:tcPr>
          <w:p w14:paraId="02F47E5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70" w:type="pct"/>
            <w:tcBorders>
              <w:top w:val="nil"/>
              <w:bottom w:val="single" w:color="auto" w:sz="4" w:space="0"/>
            </w:tcBorders>
            <w:noWrap w:val="0"/>
            <w:vAlign w:val="center"/>
          </w:tcPr>
          <w:p w14:paraId="3CCDDA63">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14605"/>
                  <wp:docPr id="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pic:cNvPicPr>
                            <a:picLocks noChangeAspect="1"/>
                          </pic:cNvPicPr>
                        </pic:nvPicPr>
                        <pic:blipFill>
                          <a:blip r:embed="rId11"/>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6037527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155CDEC1">
      <w:pPr>
        <w:spacing w:line="240" w:lineRule="auto"/>
        <w:rPr>
          <w:rFonts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6DFFF072">
      <w:pPr>
        <w:spacing w:line="240" w:lineRule="auto"/>
        <w:rPr>
          <w:rFonts w:hint="eastAsia"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4.1 蛋白提取</w:t>
      </w:r>
    </w:p>
    <w:p w14:paraId="23DF6E65">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石蜡切片</w:t>
      </w:r>
      <w:r>
        <w:rPr>
          <w:rFonts w:hint="default" w:ascii="Times New Roman" w:hAnsi="Times New Roman" w:eastAsia="微软雅黑" w:cs="Times New Roman"/>
          <w:color w:val="000000"/>
          <w:kern w:val="0"/>
          <w:sz w:val="21"/>
          <w:szCs w:val="21"/>
          <w:lang w:val="en-US" w:eastAsia="zh-CN" w:bidi="ar"/>
        </w:rPr>
        <w:t>样本，</w:t>
      </w:r>
      <w:r>
        <w:rPr>
          <w:rFonts w:hint="eastAsia" w:ascii="Times New Roman" w:hAnsi="Times New Roman" w:eastAsia="微软雅黑" w:cs="Times New Roman"/>
          <w:color w:val="000000"/>
          <w:kern w:val="0"/>
          <w:sz w:val="21"/>
          <w:szCs w:val="21"/>
          <w:lang w:val="en-US" w:eastAsia="zh-CN" w:bidi="ar"/>
        </w:rPr>
        <w:t>根据石蜡切片的数量及组织分布的大小加入</w:t>
      </w:r>
      <w:r>
        <w:rPr>
          <w:rFonts w:hint="default" w:ascii="Times New Roman" w:hAnsi="Times New Roman" w:eastAsia="微软雅黑" w:cs="Times New Roman"/>
          <w:color w:val="000000"/>
          <w:kern w:val="0"/>
          <w:sz w:val="21"/>
          <w:szCs w:val="21"/>
          <w:lang w:val="en-US" w:eastAsia="zh-CN" w:bidi="ar"/>
        </w:rPr>
        <w:t>适量试剂 0</w:t>
      </w:r>
      <w:r>
        <w:rPr>
          <w:rFonts w:hint="eastAsia" w:ascii="Times New Roman" w:hAnsi="Times New Roman" w:eastAsia="微软雅黑" w:cs="Times New Roman"/>
          <w:color w:val="000000"/>
          <w:kern w:val="0"/>
          <w:sz w:val="21"/>
          <w:szCs w:val="21"/>
          <w:lang w:val="en-US" w:eastAsia="zh-CN" w:bidi="ar"/>
        </w:rPr>
        <w:t>，BeatBox/高通量组织研磨仪震荡研磨10min（BeatBox针对的是微量样本的研磨，所以石蜡切片的组织块不能太大，石蜡切片组织量大的样本建议用高通量组织研磨仪震荡研磨）；</w:t>
      </w:r>
    </w:p>
    <w:p w14:paraId="225AECA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震荡研磨结束后将样本转移至新的1.5ml离心管中，95</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1000rpm震荡孵育30min；</w:t>
      </w:r>
    </w:p>
    <w:p w14:paraId="020DC019">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孵育</w:t>
      </w:r>
      <w:r>
        <w:rPr>
          <w:rFonts w:hint="default" w:ascii="Times New Roman" w:hAnsi="Times New Roman" w:eastAsia="微软雅黑" w:cs="Times New Roman"/>
          <w:color w:val="000000"/>
          <w:kern w:val="0"/>
          <w:sz w:val="21"/>
          <w:szCs w:val="21"/>
          <w:lang w:val="en-US" w:eastAsia="zh-CN" w:bidi="ar"/>
        </w:rPr>
        <w:t>结束待样品恢复至室温后</w:t>
      </w:r>
      <w:r>
        <w:rPr>
          <w:rFonts w:hint="eastAsia" w:ascii="Times New Roman" w:hAnsi="Times New Roman" w:eastAsia="微软雅黑" w:cs="Times New Roman"/>
          <w:color w:val="000000"/>
          <w:kern w:val="0"/>
          <w:sz w:val="21"/>
          <w:szCs w:val="21"/>
          <w:lang w:val="en-US" w:eastAsia="zh-CN" w:bidi="ar"/>
        </w:rPr>
        <w:t>，瞬时离心；</w:t>
      </w:r>
    </w:p>
    <w:p w14:paraId="5C63F6B9">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然后将样本混匀后取适量样本进行后续实验。</w:t>
      </w:r>
    </w:p>
    <w:p w14:paraId="0783EC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b w:val="0"/>
          <w:bCs w:val="0"/>
          <w:sz w:val="21"/>
          <w:szCs w:val="21"/>
          <w:lang w:val="en-US" w:eastAsia="zh-CN"/>
        </w:rPr>
      </w:pPr>
      <w:r>
        <w:rPr>
          <w:rFonts w:hint="eastAsia" w:ascii="Times New Roman" w:hAnsi="Times New Roman" w:eastAsia="微软雅黑" w:cs="Times New Roman"/>
          <w:color w:val="FF0000"/>
          <w:kern w:val="0"/>
          <w:sz w:val="21"/>
          <w:szCs w:val="21"/>
          <w:lang w:val="en-US" w:eastAsia="zh-CN" w:bidi="ar"/>
        </w:rPr>
        <w:t>备注：因为石蜡样本比较特殊，BCA定量可能会定不准，建议将样本混匀后取一部分进行后续实验，样本取出量以1mm*1mm的组织大小量为标准。</w:t>
      </w:r>
    </w:p>
    <w:p w14:paraId="617FED66">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注：少量及微量石蜡切片组织可直接进行如下操作；</w:t>
      </w:r>
    </w:p>
    <w:p w14:paraId="42729E7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FFPE样本1片，加入60</w:t>
      </w:r>
      <w:r>
        <w:rPr>
          <w:rFonts w:hint="default" w:ascii="Times New Roman" w:hAnsi="Times New Roman" w:eastAsia="微软雅黑" w:cs="Times New Roman"/>
          <w:color w:val="000000"/>
          <w:kern w:val="0"/>
          <w:sz w:val="21"/>
          <w:szCs w:val="21"/>
          <w:lang w:val="en-US" w:eastAsia="zh-CN" w:bidi="ar"/>
        </w:rPr>
        <w:t>μ</w:t>
      </w:r>
      <w:r>
        <w:rPr>
          <w:rFonts w:hint="eastAsia" w:ascii="Times New Roman" w:hAnsi="Times New Roman" w:eastAsia="微软雅黑" w:cs="Times New Roman"/>
          <w:color w:val="000000"/>
          <w:kern w:val="0"/>
          <w:sz w:val="21"/>
          <w:szCs w:val="21"/>
          <w:lang w:val="en-US" w:eastAsia="zh-CN" w:bidi="ar"/>
        </w:rPr>
        <w:t>l试剂A，BeatBox震荡研磨10min；</w:t>
      </w:r>
    </w:p>
    <w:p w14:paraId="5A99D69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研磨结束后瞬离</w:t>
      </w:r>
      <w:r>
        <w:rPr>
          <w:rFonts w:hint="default" w:ascii="Times New Roman" w:hAnsi="Times New Roman" w:eastAsia="微软雅黑" w:cs="Times New Roman"/>
          <w:color w:val="000000"/>
          <w:kern w:val="0"/>
          <w:sz w:val="21"/>
          <w:szCs w:val="21"/>
          <w:lang w:val="en-US" w:eastAsia="zh-CN" w:bidi="ar"/>
        </w:rPr>
        <w:t>，取上清；</w:t>
      </w:r>
    </w:p>
    <w:p w14:paraId="76752E3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b w:val="0"/>
          <w:bCs w:val="0"/>
          <w:color w:val="000000"/>
          <w:kern w:val="0"/>
          <w:sz w:val="21"/>
          <w:szCs w:val="21"/>
          <w:lang w:val="en-US" w:eastAsia="zh-CN" w:bidi="ar"/>
        </w:rPr>
        <w:t>上清即为</w:t>
      </w:r>
      <w:r>
        <w:rPr>
          <w:rFonts w:hint="default" w:ascii="Times New Roman" w:hAnsi="Times New Roman" w:eastAsia="微软雅黑" w:cs="Times New Roman"/>
          <w:b w:val="0"/>
          <w:bCs w:val="0"/>
          <w:color w:val="000000"/>
          <w:kern w:val="0"/>
          <w:sz w:val="21"/>
          <w:szCs w:val="21"/>
          <w:lang w:val="en-US" w:eastAsia="zh-CN" w:bidi="ar"/>
        </w:rPr>
        <w:t>蛋白样品</w:t>
      </w:r>
      <w:r>
        <w:rPr>
          <w:rFonts w:hint="eastAsia" w:ascii="Times New Roman" w:hAnsi="Times New Roman" w:eastAsia="微软雅黑" w:cs="Times New Roman"/>
          <w:b w:val="0"/>
          <w:bCs w:val="0"/>
          <w:color w:val="000000"/>
          <w:kern w:val="0"/>
          <w:sz w:val="21"/>
          <w:szCs w:val="21"/>
          <w:lang w:val="en-US" w:eastAsia="zh-CN" w:bidi="ar"/>
        </w:rPr>
        <w:t>，样本</w:t>
      </w:r>
      <w:r>
        <w:rPr>
          <w:rFonts w:hint="default" w:ascii="Times New Roman" w:hAnsi="Times New Roman" w:eastAsia="微软雅黑" w:cs="Times New Roman"/>
          <w:color w:val="000000"/>
          <w:kern w:val="0"/>
          <w:sz w:val="21"/>
          <w:szCs w:val="21"/>
          <w:lang w:val="en-US" w:eastAsia="zh-CN" w:bidi="ar"/>
        </w:rPr>
        <w:t>95℃加热</w:t>
      </w:r>
      <w:r>
        <w:rPr>
          <w:rFonts w:hint="eastAsia" w:ascii="Times New Roman" w:hAnsi="Times New Roman" w:eastAsia="微软雅黑" w:cs="Times New Roman"/>
          <w:color w:val="000000"/>
          <w:kern w:val="0"/>
          <w:sz w:val="21"/>
          <w:szCs w:val="21"/>
          <w:lang w:val="en-US" w:eastAsia="zh-CN" w:bidi="ar"/>
        </w:rPr>
        <w:t>2h</w:t>
      </w:r>
      <w:r>
        <w:rPr>
          <w:rFonts w:hint="default" w:ascii="Times New Roman" w:hAnsi="Times New Roman" w:eastAsia="微软雅黑" w:cs="Times New Roman"/>
          <w:color w:val="000000"/>
          <w:kern w:val="0"/>
          <w:sz w:val="21"/>
          <w:szCs w:val="21"/>
          <w:lang w:val="en-US" w:eastAsia="zh-CN" w:bidi="ar"/>
        </w:rPr>
        <w:t>（95℃，1000rpm）</w:t>
      </w:r>
      <w:r>
        <w:rPr>
          <w:rFonts w:hint="eastAsia" w:ascii="Times New Roman" w:hAnsi="Times New Roman" w:eastAsia="微软雅黑" w:cs="Times New Roman"/>
          <w:color w:val="000000"/>
          <w:kern w:val="0"/>
          <w:sz w:val="21"/>
          <w:szCs w:val="21"/>
          <w:lang w:val="en-US" w:eastAsia="zh-CN" w:bidi="ar"/>
        </w:rPr>
        <w:t>后直接</w:t>
      </w:r>
      <w:r>
        <w:rPr>
          <w:rFonts w:hint="default" w:ascii="Times New Roman" w:hAnsi="Times New Roman" w:eastAsia="微软雅黑" w:cs="Times New Roman"/>
          <w:b w:val="0"/>
          <w:bCs w:val="0"/>
          <w:color w:val="000000"/>
          <w:kern w:val="0"/>
          <w:sz w:val="21"/>
          <w:szCs w:val="21"/>
          <w:lang w:val="en-US" w:eastAsia="zh-CN" w:bidi="ar"/>
        </w:rPr>
        <w:t>进行后续操作</w:t>
      </w:r>
      <w:r>
        <w:rPr>
          <w:rFonts w:hint="eastAsia" w:ascii="Times New Roman" w:hAnsi="Times New Roman" w:eastAsia="微软雅黑" w:cs="Times New Roman"/>
          <w:b w:val="0"/>
          <w:bCs w:val="0"/>
          <w:color w:val="000000"/>
          <w:kern w:val="0"/>
          <w:sz w:val="21"/>
          <w:szCs w:val="21"/>
          <w:lang w:val="en-US" w:eastAsia="zh-CN" w:bidi="ar"/>
        </w:rPr>
        <w:t>4.2 b的操作；</w:t>
      </w:r>
    </w:p>
    <w:p w14:paraId="28785C0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w:t>
      </w:r>
      <w:r>
        <w:rPr>
          <w:rFonts w:hint="eastAsia" w:ascii="Times New Roman" w:hAnsi="Times New Roman" w:eastAsia="微软雅黑" w:cs="Times New Roman"/>
          <w:b/>
          <w:bCs/>
          <w:sz w:val="21"/>
          <w:szCs w:val="21"/>
          <w:lang w:val="en-US" w:eastAsia="zh-CN"/>
        </w:rPr>
        <w:t>2</w:t>
      </w:r>
      <w:r>
        <w:rPr>
          <w:rFonts w:ascii="Times New Roman" w:hAnsi="Times New Roman" w:eastAsia="微软雅黑" w:cs="Times New Roman"/>
          <w:b/>
          <w:bCs/>
          <w:sz w:val="21"/>
          <w:szCs w:val="21"/>
        </w:rPr>
        <w:t xml:space="preserve"> 蛋白酶解</w:t>
      </w:r>
    </w:p>
    <w:p w14:paraId="65D5A3C3">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default" w:ascii="Times New Roman" w:hAnsi="Times New Roman" w:eastAsia="微软雅黑" w:cs="Times New Roman"/>
          <w:color w:val="FF0000"/>
          <w:kern w:val="0"/>
          <w:sz w:val="21"/>
          <w:szCs w:val="21"/>
          <w:lang w:val="en-US" w:eastAsia="zh-CN" w:bidi="ar"/>
        </w:rPr>
        <w:t>（建议总体积不超过</w:t>
      </w:r>
      <w:r>
        <w:rPr>
          <w:rFonts w:hint="eastAsia" w:ascii="Times New Roman" w:hAnsi="Times New Roman" w:eastAsia="微软雅黑" w:cs="Times New Roman"/>
          <w:color w:val="FF0000"/>
          <w:kern w:val="0"/>
          <w:sz w:val="21"/>
          <w:szCs w:val="21"/>
          <w:lang w:val="en-US" w:eastAsia="zh-CN" w:bidi="ar"/>
        </w:rPr>
        <w:t>3</w:t>
      </w:r>
      <w:r>
        <w:rPr>
          <w:rFonts w:hint="default" w:ascii="Times New Roman" w:hAnsi="Times New Roman" w:eastAsia="微软雅黑" w:cs="Times New Roman"/>
          <w:color w:val="FF0000"/>
          <w:kern w:val="0"/>
          <w:sz w:val="21"/>
          <w:szCs w:val="21"/>
          <w:lang w:val="en-US" w:eastAsia="zh-CN" w:bidi="ar"/>
        </w:rPr>
        <w:t>0</w:t>
      </w:r>
      <w:r>
        <w:rPr>
          <w:rFonts w:hint="default" w:ascii="Times New Roman" w:hAnsi="Times New Roman" w:eastAsia="微软雅黑" w:cs="Times New Roman"/>
          <w:color w:val="FF0000"/>
          <w:kern w:val="0"/>
          <w:sz w:val="21"/>
          <w:szCs w:val="21"/>
          <w:highlight w:val="none"/>
          <w:lang w:val="en-US" w:eastAsia="zh-CN" w:bidi="ar"/>
        </w:rPr>
        <w:t>μl</w:t>
      </w:r>
      <w:r>
        <w:rPr>
          <w:rFonts w:hint="eastAsia" w:ascii="Times New Roman" w:hAnsi="Times New Roman" w:eastAsia="微软雅黑" w:cs="Times New Roman"/>
          <w:color w:val="FF0000"/>
          <w:kern w:val="0"/>
          <w:sz w:val="21"/>
          <w:szCs w:val="21"/>
          <w:highlight w:val="none"/>
          <w:lang w:val="en-US" w:eastAsia="zh-CN" w:bidi="ar"/>
        </w:rPr>
        <w:t>，</w:t>
      </w:r>
      <w:r>
        <w:rPr>
          <w:rFonts w:hint="default" w:ascii="Times New Roman" w:hAnsi="Times New Roman" w:eastAsia="微软雅黑" w:cs="Times New Roman"/>
          <w:color w:val="FF0000"/>
          <w:kern w:val="0"/>
          <w:sz w:val="21"/>
          <w:szCs w:val="21"/>
          <w:highlight w:val="none"/>
          <w:lang w:val="en-US" w:eastAsia="zh-CN" w:bidi="ar"/>
        </w:rPr>
        <w:t>如果体积不到30μl请用试剂0补到30μl</w:t>
      </w:r>
      <w:r>
        <w:rPr>
          <w:rFonts w:hint="default" w:ascii="Times New Roman" w:hAnsi="Times New Roman" w:eastAsia="微软雅黑" w:cs="Times New Roman"/>
          <w:color w:val="FF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 xml:space="preserve">依次加入S板，分别补加试剂A </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val="en-US" w:eastAsia="zh-CN" w:bidi="ar"/>
        </w:rPr>
        <w:t>0 μl，吹打混匀后95℃加热</w:t>
      </w:r>
      <w:r>
        <w:rPr>
          <w:rFonts w:hint="eastAsia" w:ascii="Times New Roman" w:hAnsi="Times New Roman" w:eastAsia="微软雅黑" w:cs="Times New Roman"/>
          <w:color w:val="000000"/>
          <w:kern w:val="0"/>
          <w:sz w:val="21"/>
          <w:szCs w:val="21"/>
          <w:lang w:val="en-US" w:eastAsia="zh-CN" w:bidi="ar"/>
        </w:rPr>
        <w:t>2h</w:t>
      </w:r>
      <w:r>
        <w:rPr>
          <w:rFonts w:hint="default" w:ascii="Times New Roman" w:hAnsi="Times New Roman" w:eastAsia="微软雅黑" w:cs="Times New Roman"/>
          <w:color w:val="000000"/>
          <w:kern w:val="0"/>
          <w:sz w:val="21"/>
          <w:szCs w:val="21"/>
          <w:lang w:val="en-US" w:eastAsia="zh-CN" w:bidi="ar"/>
        </w:rPr>
        <w:t>（95℃，1000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501D2B12">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val="en-US" w:eastAsia="zh-CN" w:bidi="ar"/>
        </w:rPr>
        <w:t>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800-</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08E0B343">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会有沉淀出现，20000g离心1min后吸取上清待后续脱盐。</w:t>
      </w:r>
    </w:p>
    <w:p w14:paraId="46DA5FA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.3 肽段脱盐</w:t>
      </w:r>
    </w:p>
    <w:p w14:paraId="63B4C8CA">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11109D0B">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：将样本（1-30μg）全部加载到脱盐柱中，700g离心1min，重复操作一次；</w:t>
      </w:r>
    </w:p>
    <w:p w14:paraId="0626A77E">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除蜡：100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试剂WASH 0</w:t>
      </w:r>
      <w:r>
        <w:rPr>
          <w:rFonts w:ascii="Times New Roman" w:hAnsi="Times New Roman" w:eastAsia="微软雅黑" w:cs="Times New Roman"/>
          <w:color w:val="000000"/>
          <w:kern w:val="0"/>
          <w:sz w:val="21"/>
          <w:szCs w:val="21"/>
          <w:lang w:bidi="ar"/>
        </w:rPr>
        <w:t>加入到脱盐柱中，700g离心1min</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重复操作一次；</w:t>
      </w:r>
    </w:p>
    <w:p w14:paraId="6C87148F">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1112E885">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F902EBB">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6699AED1">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：5</w:t>
      </w:r>
      <w:r>
        <w:rPr>
          <w:rFonts w:hint="default" w:ascii="Times New Roman" w:hAnsi="Times New Roman" w:eastAsia="微软雅黑" w:cs="Times New Roman"/>
          <w:color w:val="000000"/>
          <w:kern w:val="0"/>
          <w:sz w:val="21"/>
          <w:szCs w:val="21"/>
          <w:lang w:val="en-US" w:eastAsia="zh-CN" w:bidi="ar"/>
        </w:rPr>
        <w:t xml:space="preserve">0μl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0μl；</w:t>
      </w:r>
    </w:p>
    <w:p w14:paraId="042985C6">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29E7A318">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46F1CB13">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震荡研磨不充分可适当延长研磨时间；</w:t>
      </w:r>
    </w:p>
    <w:p w14:paraId="4E0E6001">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试剂0和试剂A低温下会析出，建议使用前置于水浴锅中（37-50</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）放置10min，待结晶重新溶解后混匀使用；</w:t>
      </w:r>
    </w:p>
    <w:p w14:paraId="17550FC6">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330F521D">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33BB74EA">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C可能有</w:t>
      </w:r>
      <w:r>
        <w:rPr>
          <w:rFonts w:ascii="Times New Roman" w:hAnsi="Times New Roman" w:eastAsia="微软雅黑" w:cs="Times New Roman"/>
          <w:color w:val="000000"/>
          <w:kern w:val="0"/>
          <w:sz w:val="18"/>
          <w:szCs w:val="18"/>
          <w:lang w:bidi="ar"/>
        </w:rPr>
        <w:t>沉淀出现，</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r>
        <w:rPr>
          <w:rFonts w:hint="eastAsia" w:ascii="Times New Roman" w:hAnsi="Times New Roman" w:eastAsia="微软雅黑" w:cs="Times New Roman"/>
          <w:color w:val="000000"/>
          <w:kern w:val="0"/>
          <w:sz w:val="18"/>
          <w:szCs w:val="18"/>
          <w:lang w:val="en-US" w:eastAsia="zh-CN" w:bidi="ar"/>
        </w:rPr>
        <w:t>操作</w:t>
      </w:r>
      <w:r>
        <w:rPr>
          <w:rFonts w:ascii="Times New Roman" w:hAnsi="Times New Roman" w:eastAsia="微软雅黑" w:cs="Times New Roman"/>
          <w:color w:val="000000"/>
          <w:kern w:val="0"/>
          <w:sz w:val="18"/>
          <w:szCs w:val="18"/>
          <w:lang w:bidi="ar"/>
        </w:rPr>
        <w:t>；</w:t>
      </w:r>
    </w:p>
    <w:p w14:paraId="51E62430">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E5B4A61">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0839C673">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84"/>
        <w:gridCol w:w="2415"/>
      </w:tblGrid>
      <w:tr w14:paraId="47BA1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5984" w:type="dxa"/>
            <w:noWrap w:val="0"/>
            <w:vAlign w:val="top"/>
          </w:tcPr>
          <w:p w14:paraId="48928D60">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7"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ode"/>
                          <pic:cNvPicPr>
                            <a:picLocks noChangeAspect="1"/>
                          </pic:cNvPicPr>
                        </pic:nvPicPr>
                        <pic:blipFill>
                          <a:blip r:embed="rId12"/>
                          <a:stretch>
                            <a:fillRect/>
                          </a:stretch>
                        </pic:blipFill>
                        <pic:spPr>
                          <a:xfrm>
                            <a:off x="0" y="0"/>
                            <a:ext cx="666115" cy="666115"/>
                          </a:xfrm>
                          <a:prstGeom prst="rect">
                            <a:avLst/>
                          </a:prstGeom>
                          <a:noFill/>
                          <a:ln>
                            <a:noFill/>
                          </a:ln>
                        </pic:spPr>
                      </pic:pic>
                    </a:graphicData>
                  </a:graphic>
                </wp:inline>
              </w:drawing>
            </w:r>
          </w:p>
        </w:tc>
        <w:tc>
          <w:tcPr>
            <w:tcW w:w="2415" w:type="dxa"/>
            <w:noWrap w:val="0"/>
            <w:vAlign w:val="center"/>
          </w:tcPr>
          <w:p w14:paraId="3A4699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4DCF6F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4B109567">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66593D9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327" w:right="1689" w:bottom="1157" w:left="1689" w:header="851" w:footer="90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E1390">
    <w:pPr>
      <w:pStyle w:val="2"/>
      <w:rPr>
        <w:rFonts w:hint="eastAsia"/>
        <w:lang w:eastAsia="zh-CN"/>
      </w:rPr>
    </w:pP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9434830</wp:posOffset>
          </wp:positionV>
          <wp:extent cx="7578090" cy="1259205"/>
          <wp:effectExtent l="0" t="0" r="3810" b="1714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78090" cy="1259205"/>
                  </a:xfrm>
                  <a:prstGeom prst="rect">
                    <a:avLst/>
                  </a:prstGeom>
                  <a:noFill/>
                  <a:ln>
                    <a:noFill/>
                  </a:ln>
                </pic:spPr>
              </pic:pic>
            </a:graphicData>
          </a:graphic>
        </wp:anchor>
      </w:drawing>
    </w: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88B34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5888B345">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3902F">
    <w:pPr>
      <w:pStyle w:val="3"/>
    </w:pPr>
    <w:r>
      <w:drawing>
        <wp:anchor distT="0" distB="0" distL="114300" distR="114300" simplePos="0" relativeHeight="251659264" behindDoc="1" locked="0" layoutInCell="1" allowOverlap="1">
          <wp:simplePos x="0" y="0"/>
          <wp:positionH relativeFrom="page">
            <wp:posOffset>-5080</wp:posOffset>
          </wp:positionH>
          <wp:positionV relativeFrom="page">
            <wp:posOffset>-6350</wp:posOffset>
          </wp:positionV>
          <wp:extent cx="7554595" cy="1357630"/>
          <wp:effectExtent l="0" t="0" r="8255" b="13970"/>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7554595" cy="1357630"/>
                  </a:xfrm>
                  <a:prstGeom prst="rect">
                    <a:avLst/>
                  </a:prstGeom>
                  <a:noFill/>
                  <a:ln>
                    <a:noFill/>
                  </a:ln>
                </pic:spPr>
              </pic:pic>
            </a:graphicData>
          </a:graphic>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10"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2E42135B"/>
    <w:multiLevelType w:val="singleLevel"/>
    <w:tmpl w:val="2E42135B"/>
    <w:lvl w:ilvl="0" w:tentative="0">
      <w:start w:val="1"/>
      <w:numFmt w:val="lowerLetter"/>
      <w:suff w:val="space"/>
      <w:lvlText w:val="%1."/>
      <w:lvlJc w:val="left"/>
    </w:lvl>
  </w:abstractNum>
  <w:abstractNum w:abstractNumId="4">
    <w:nsid w:val="4EB15633"/>
    <w:multiLevelType w:val="singleLevel"/>
    <w:tmpl w:val="4EB15633"/>
    <w:lvl w:ilvl="0" w:tentative="0">
      <w:start w:val="1"/>
      <w:numFmt w:val="decimal"/>
      <w:suff w:val="space"/>
      <w:lvlText w:val="%1."/>
      <w:lvlJc w:val="left"/>
    </w:lvl>
  </w:abstractNum>
  <w:abstractNum w:abstractNumId="5">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s>
  <w:rsids>
    <w:rsidRoot w:val="00000000"/>
    <w:rsid w:val="00AD2EA0"/>
    <w:rsid w:val="01342BB3"/>
    <w:rsid w:val="01DF4A6C"/>
    <w:rsid w:val="13443891"/>
    <w:rsid w:val="13AC0DFB"/>
    <w:rsid w:val="146F479C"/>
    <w:rsid w:val="14AA7C70"/>
    <w:rsid w:val="15B27269"/>
    <w:rsid w:val="16221FCC"/>
    <w:rsid w:val="1BAF4D2D"/>
    <w:rsid w:val="1C7E49BA"/>
    <w:rsid w:val="1D2737FF"/>
    <w:rsid w:val="1EFC5E1C"/>
    <w:rsid w:val="239D478B"/>
    <w:rsid w:val="2B732A57"/>
    <w:rsid w:val="2F524A9E"/>
    <w:rsid w:val="2FFA371C"/>
    <w:rsid w:val="306744D1"/>
    <w:rsid w:val="316B70CB"/>
    <w:rsid w:val="344F3FA7"/>
    <w:rsid w:val="3B5B11A7"/>
    <w:rsid w:val="3BE20D07"/>
    <w:rsid w:val="3D2C6E4B"/>
    <w:rsid w:val="3EE1347E"/>
    <w:rsid w:val="3F8F6DDC"/>
    <w:rsid w:val="41412BA9"/>
    <w:rsid w:val="42F655C2"/>
    <w:rsid w:val="43357339"/>
    <w:rsid w:val="45310856"/>
    <w:rsid w:val="4812582E"/>
    <w:rsid w:val="4C886703"/>
    <w:rsid w:val="4D3A5FEE"/>
    <w:rsid w:val="4F2248F8"/>
    <w:rsid w:val="517D186C"/>
    <w:rsid w:val="52A5300F"/>
    <w:rsid w:val="544B79B6"/>
    <w:rsid w:val="60546E99"/>
    <w:rsid w:val="60A74B67"/>
    <w:rsid w:val="63F70CE7"/>
    <w:rsid w:val="6CD80C14"/>
    <w:rsid w:val="72C37EDB"/>
    <w:rsid w:val="75606687"/>
    <w:rsid w:val="75BE509E"/>
    <w:rsid w:val="78B32A89"/>
    <w:rsid w:val="79F56B38"/>
    <w:rsid w:val="7A065565"/>
    <w:rsid w:val="7A560833"/>
    <w:rsid w:val="7AF516A8"/>
    <w:rsid w:val="7D1909ED"/>
    <w:rsid w:val="7D6400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1669</Words>
  <Characters>2094</Characters>
  <Lines>0</Lines>
  <Paragraphs>0</Paragraphs>
  <TotalTime>0</TotalTime>
  <ScaleCrop>false</ScaleCrop>
  <LinksUpToDate>false</LinksUpToDate>
  <CharactersWithSpaces>2136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cp:lastPrinted>2024-11-12T08:58:42Z</cp:lastPrinted>
  <dcterms:modified xsi:type="dcterms:W3CDTF">2026-06-11T06:42:19Z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43339F04FD80420EB5CD4CD5CBD54F89_13</vt:lpwstr>
  </property>
  <property fmtid="{D5CDD505-2E9C-101B-9397-08002B2CF9AE}" pid="4" name="KSOTemplateDocerSaveRecord">
    <vt:lpwstr>eyJoZGlkIjoiNGE4MmJmZWM4N2NmNzM0ODc5NTJkMGZhNzZhNmI2ZDgiLCJ1c2VySWQiOiI2OTYyMTYzMjYifQ==</vt:lpwstr>
  </property>
</Properties>
</file>