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8902B3">
      <w:pPr>
        <w:jc w:val="center"/>
        <w:rPr>
          <w:rFonts w:hint="eastAsia" w:ascii="微软雅黑" w:hAnsi="微软雅黑" w:eastAsia="微软雅黑" w:cs="微软雅黑"/>
          <w:b/>
          <w:bCs/>
          <w:sz w:val="32"/>
          <w:szCs w:val="32"/>
        </w:rPr>
      </w:pPr>
      <w:bookmarkStart w:id="3" w:name="_GoBack"/>
      <w:bookmarkEnd w:id="3"/>
      <w:r>
        <w:rPr>
          <w:rFonts w:hint="eastAsia" w:ascii="微软雅黑" w:hAnsi="微软雅黑" w:eastAsia="微软雅黑" w:cs="微软雅黑"/>
          <w:b/>
          <w:bCs/>
          <w:sz w:val="32"/>
          <w:szCs w:val="32"/>
        </w:rPr>
        <w:t>易肽</w:t>
      </w:r>
      <w:r>
        <w:rPr>
          <w:rFonts w:hint="eastAsia" w:ascii="微软雅黑" w:hAnsi="微软雅黑" w:eastAsia="微软雅黑" w:cs="微软雅黑"/>
          <w:b/>
          <w:bCs/>
          <w:sz w:val="32"/>
          <w:szCs w:val="32"/>
          <w:lang w:val="en-US" w:eastAsia="zh-CN"/>
        </w:rPr>
        <w:t>FFPE-Micro</w:t>
      </w:r>
      <w:r>
        <w:rPr>
          <w:rFonts w:hint="eastAsia" w:ascii="微软雅黑" w:hAnsi="微软雅黑" w:eastAsia="微软雅黑" w:cs="微软雅黑"/>
          <w:b/>
          <w:bCs/>
          <w:sz w:val="32"/>
          <w:szCs w:val="32"/>
        </w:rPr>
        <w:t>前处理制备试剂盒</w:t>
      </w:r>
    </w:p>
    <w:p w14:paraId="32A6B405">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货号：OSFP0006  规格：8x  版本号：V20260609</w:t>
      </w:r>
    </w:p>
    <w:p w14:paraId="7B50F439">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试剂盒包含：</w:t>
      </w:r>
    </w:p>
    <w:tbl>
      <w:tblPr>
        <w:tblStyle w:val="6"/>
        <w:tblpPr w:leftFromText="180" w:rightFromText="180" w:vertAnchor="text" w:horzAnchor="page" w:tblpX="1798" w:tblpY="579"/>
        <w:tblOverlap w:val="never"/>
        <w:tblW w:w="4998"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27"/>
        <w:gridCol w:w="1520"/>
        <w:gridCol w:w="3828"/>
        <w:gridCol w:w="1966"/>
      </w:tblGrid>
      <w:tr w14:paraId="5B39C0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single" w:color="auto" w:sz="6" w:space="0"/>
              <w:bottom w:val="single" w:color="auto" w:sz="6" w:space="0"/>
            </w:tcBorders>
            <w:noWrap w:val="0"/>
            <w:vAlign w:val="center"/>
          </w:tcPr>
          <w:p w14:paraId="6AF809D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试剂名称</w:t>
            </w:r>
          </w:p>
        </w:tc>
        <w:tc>
          <w:tcPr>
            <w:tcW w:w="869" w:type="pct"/>
            <w:tcBorders>
              <w:top w:val="single" w:color="auto" w:sz="6" w:space="0"/>
              <w:bottom w:val="single" w:color="auto" w:sz="6" w:space="0"/>
            </w:tcBorders>
            <w:noWrap w:val="0"/>
            <w:vAlign w:val="center"/>
          </w:tcPr>
          <w:p w14:paraId="4C850B68">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规格</w:t>
            </w:r>
          </w:p>
        </w:tc>
        <w:tc>
          <w:tcPr>
            <w:tcW w:w="2189" w:type="pct"/>
            <w:tcBorders>
              <w:top w:val="single" w:color="auto" w:sz="6" w:space="0"/>
              <w:bottom w:val="single" w:color="auto" w:sz="6" w:space="0"/>
            </w:tcBorders>
            <w:noWrap w:val="0"/>
            <w:vAlign w:val="center"/>
          </w:tcPr>
          <w:p w14:paraId="6AC588C3">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简   介</w:t>
            </w:r>
          </w:p>
        </w:tc>
        <w:tc>
          <w:tcPr>
            <w:tcW w:w="1124" w:type="pct"/>
            <w:tcBorders>
              <w:top w:val="single" w:color="auto" w:sz="6" w:space="0"/>
              <w:bottom w:val="single" w:color="auto" w:sz="6" w:space="0"/>
            </w:tcBorders>
            <w:noWrap w:val="0"/>
            <w:vAlign w:val="center"/>
          </w:tcPr>
          <w:p w14:paraId="71DADB4A">
            <w:pPr>
              <w:spacing w:line="360" w:lineRule="auto"/>
              <w:jc w:val="center"/>
              <w:rPr>
                <w:rFonts w:hint="eastAsia" w:ascii="微软雅黑" w:hAnsi="微软雅黑" w:eastAsia="微软雅黑" w:cs="微软雅黑"/>
                <w:b/>
                <w:bCs/>
                <w:sz w:val="18"/>
                <w:szCs w:val="18"/>
              </w:rPr>
            </w:pPr>
            <w:r>
              <w:rPr>
                <w:rFonts w:hint="eastAsia" w:ascii="微软雅黑" w:hAnsi="微软雅黑" w:eastAsia="微软雅黑" w:cs="微软雅黑"/>
                <w:b/>
                <w:bCs/>
                <w:sz w:val="18"/>
                <w:szCs w:val="18"/>
              </w:rPr>
              <w:t>储存条件</w:t>
            </w:r>
          </w:p>
        </w:tc>
      </w:tr>
      <w:tr w14:paraId="60465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698873D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 xml:space="preserve">试剂0 </w:t>
            </w:r>
            <w:r>
              <w:rPr>
                <w:rFonts w:hint="default" w:ascii="Times New Roman" w:hAnsi="Times New Roman" w:eastAsia="微软雅黑" w:cs="Times New Roman"/>
                <w:b w:val="0"/>
                <w:bCs w:val="0"/>
                <w:color w:val="FFFF00"/>
                <w:sz w:val="18"/>
                <w:szCs w:val="18"/>
                <w:vertAlign w:val="baseline"/>
                <w:lang w:val="en-US" w:eastAsia="zh-CN"/>
              </w:rPr>
              <w:t xml:space="preserve">● </w:t>
            </w:r>
          </w:p>
        </w:tc>
        <w:tc>
          <w:tcPr>
            <w:tcW w:w="869" w:type="pct"/>
            <w:tcBorders>
              <w:top w:val="nil"/>
              <w:bottom w:val="nil"/>
            </w:tcBorders>
            <w:noWrap w:val="0"/>
            <w:vAlign w:val="center"/>
          </w:tcPr>
          <w:p w14:paraId="3950050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 xml:space="preserve">1.8 </w:t>
            </w:r>
            <w:r>
              <w:rPr>
                <w:rFonts w:hint="default" w:ascii="Times New Roman" w:hAnsi="Times New Roman" w:eastAsia="微软雅黑" w:cs="Times New Roman"/>
                <w:b w:val="0"/>
                <w:bCs w:val="0"/>
                <w:sz w:val="18"/>
                <w:szCs w:val="18"/>
                <w:vertAlign w:val="baseline"/>
                <w:lang w:val="en-US" w:eastAsia="zh-CN"/>
              </w:rPr>
              <w:t>ml*</w:t>
            </w:r>
            <w:r>
              <w:rPr>
                <w:rFonts w:hint="eastAsia" w:ascii="Times New Roman" w:hAnsi="Times New Roman" w:eastAsia="微软雅黑" w:cs="Times New Roman"/>
                <w:b w:val="0"/>
                <w:bCs w:val="0"/>
                <w:sz w:val="18"/>
                <w:szCs w:val="18"/>
                <w:vertAlign w:val="baseline"/>
                <w:lang w:val="en-US" w:eastAsia="zh-CN"/>
              </w:rPr>
              <w:t>1</w:t>
            </w:r>
          </w:p>
        </w:tc>
        <w:tc>
          <w:tcPr>
            <w:tcW w:w="2189" w:type="pct"/>
            <w:tcBorders>
              <w:top w:val="nil"/>
              <w:bottom w:val="nil"/>
            </w:tcBorders>
            <w:noWrap w:val="0"/>
            <w:vAlign w:val="center"/>
          </w:tcPr>
          <w:p w14:paraId="44CD23C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裂解液，用于蛋白裂解</w:t>
            </w:r>
          </w:p>
        </w:tc>
        <w:tc>
          <w:tcPr>
            <w:tcW w:w="1124" w:type="pct"/>
            <w:tcBorders>
              <w:top w:val="nil"/>
              <w:bottom w:val="nil"/>
            </w:tcBorders>
            <w:noWrap w:val="0"/>
            <w:vAlign w:val="center"/>
          </w:tcPr>
          <w:p w14:paraId="17DB85B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r w14:paraId="587AB7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4798351E">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A </w:t>
            </w:r>
            <w:r>
              <w:rPr>
                <w:rFonts w:hint="default" w:ascii="Times New Roman" w:hAnsi="Times New Roman" w:eastAsia="微软雅黑" w:cs="Times New Roman"/>
                <w:b w:val="0"/>
                <w:bCs w:val="0"/>
                <w:color w:val="843C0B"/>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69" w:type="pct"/>
            <w:tcBorders>
              <w:top w:val="nil"/>
              <w:bottom w:val="nil"/>
            </w:tcBorders>
            <w:noWrap w:val="0"/>
            <w:vAlign w:val="center"/>
          </w:tcPr>
          <w:p w14:paraId="2D15D2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55</w:t>
            </w:r>
            <w:r>
              <w:rPr>
                <w:rFonts w:hint="default" w:ascii="Times New Roman" w:hAnsi="Times New Roman" w:eastAsia="微软雅黑" w:cs="Times New Roman"/>
                <w:b w:val="0"/>
                <w:bCs w:val="0"/>
                <w:sz w:val="18"/>
                <w:szCs w:val="18"/>
                <w:vertAlign w:val="baseline"/>
                <w:lang w:val="en-US" w:eastAsia="zh-CN"/>
              </w:rPr>
              <w:t>0μl*1</w:t>
            </w:r>
          </w:p>
        </w:tc>
        <w:tc>
          <w:tcPr>
            <w:tcW w:w="2189" w:type="pct"/>
            <w:tcBorders>
              <w:top w:val="nil"/>
              <w:bottom w:val="nil"/>
            </w:tcBorders>
            <w:noWrap w:val="0"/>
            <w:vAlign w:val="center"/>
          </w:tcPr>
          <w:p w14:paraId="2B5A74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还原烷基化，蛋白质还原烷基化</w:t>
            </w:r>
          </w:p>
        </w:tc>
        <w:tc>
          <w:tcPr>
            <w:tcW w:w="1124" w:type="pct"/>
            <w:tcBorders>
              <w:top w:val="nil"/>
              <w:bottom w:val="nil"/>
            </w:tcBorders>
            <w:noWrap w:val="0"/>
            <w:vAlign w:val="center"/>
          </w:tcPr>
          <w:p w14:paraId="5BCBA5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49D074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28E4B3D8">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B </w:t>
            </w:r>
            <w:r>
              <w:rPr>
                <w:rFonts w:hint="default" w:ascii="Times New Roman" w:hAnsi="Times New Roman" w:eastAsia="微软雅黑" w:cs="Times New Roman"/>
                <w:b w:val="0"/>
                <w:bCs w:val="0"/>
                <w:color w:val="FF0000"/>
                <w:sz w:val="18"/>
                <w:szCs w:val="18"/>
                <w:vertAlign w:val="baseline"/>
                <w:lang w:val="en-US" w:eastAsia="zh-CN"/>
              </w:rPr>
              <w:t>●</w:t>
            </w:r>
            <w:r>
              <w:rPr>
                <w:rFonts w:hint="default" w:ascii="Times New Roman" w:hAnsi="Times New Roman" w:eastAsia="微软雅黑" w:cs="Times New Roman"/>
                <w:sz w:val="18"/>
                <w:szCs w:val="18"/>
              </w:rPr>
              <w:t xml:space="preserve"> </w:t>
            </w:r>
          </w:p>
        </w:tc>
        <w:tc>
          <w:tcPr>
            <w:tcW w:w="869" w:type="pct"/>
            <w:tcBorders>
              <w:top w:val="nil"/>
              <w:bottom w:val="nil"/>
            </w:tcBorders>
            <w:noWrap w:val="0"/>
            <w:vAlign w:val="center"/>
          </w:tcPr>
          <w:p w14:paraId="533C7BA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140</w:t>
            </w:r>
            <w:r>
              <w:rPr>
                <w:rFonts w:hint="default" w:ascii="Times New Roman" w:hAnsi="Times New Roman" w:eastAsia="微软雅黑" w:cs="Times New Roman"/>
                <w:b w:val="0"/>
                <w:bCs w:val="0"/>
                <w:sz w:val="18"/>
                <w:szCs w:val="18"/>
                <w:vertAlign w:val="baseline"/>
                <w:lang w:val="en-US" w:eastAsia="zh-CN"/>
              </w:rPr>
              <w:t>μl*1</w:t>
            </w:r>
          </w:p>
        </w:tc>
        <w:tc>
          <w:tcPr>
            <w:tcW w:w="2189" w:type="pct"/>
            <w:tcBorders>
              <w:top w:val="nil"/>
              <w:bottom w:val="nil"/>
            </w:tcBorders>
            <w:noWrap w:val="0"/>
            <w:vAlign w:val="center"/>
          </w:tcPr>
          <w:p w14:paraId="4B08D11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酶，蛋白酶解</w:t>
            </w:r>
          </w:p>
        </w:tc>
        <w:tc>
          <w:tcPr>
            <w:tcW w:w="1124" w:type="pct"/>
            <w:tcBorders>
              <w:top w:val="nil"/>
              <w:bottom w:val="nil"/>
            </w:tcBorders>
            <w:noWrap w:val="0"/>
            <w:vAlign w:val="center"/>
          </w:tcPr>
          <w:p w14:paraId="7DEE3A8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-20℃</w:t>
            </w:r>
          </w:p>
        </w:tc>
      </w:tr>
      <w:tr w14:paraId="2FB0E4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1" w:hRule="atLeast"/>
        </w:trPr>
        <w:tc>
          <w:tcPr>
            <w:tcW w:w="816" w:type="pct"/>
            <w:tcBorders>
              <w:top w:val="nil"/>
              <w:bottom w:val="nil"/>
            </w:tcBorders>
            <w:noWrap w:val="0"/>
            <w:vAlign w:val="center"/>
          </w:tcPr>
          <w:p w14:paraId="49B52683">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C</w:t>
            </w:r>
            <w:r>
              <w:rPr>
                <w:rFonts w:hint="default" w:ascii="Times New Roman" w:hAnsi="Times New Roman" w:eastAsia="微软雅黑" w:cs="Times New Roman"/>
                <w:sz w:val="18"/>
                <w:szCs w:val="18"/>
              </w:rPr>
              <w:t xml:space="preserve"> </w:t>
            </w:r>
            <w:r>
              <w:rPr>
                <w:rFonts w:hint="default" w:ascii="Times New Roman" w:hAnsi="Times New Roman" w:eastAsia="微软雅黑" w:cs="Times New Roman"/>
                <w:b w:val="0"/>
                <w:bCs w:val="0"/>
                <w:color w:val="auto"/>
                <w:sz w:val="18"/>
                <w:szCs w:val="18"/>
                <w:vertAlign w:val="baseline"/>
                <w:lang w:val="en-US" w:eastAsia="zh-CN"/>
              </w:rPr>
              <w:t>●</w:t>
            </w:r>
          </w:p>
        </w:tc>
        <w:tc>
          <w:tcPr>
            <w:tcW w:w="869" w:type="pct"/>
            <w:tcBorders>
              <w:top w:val="nil"/>
              <w:bottom w:val="nil"/>
            </w:tcBorders>
            <w:noWrap w:val="0"/>
            <w:vAlign w:val="center"/>
          </w:tcPr>
          <w:p w14:paraId="0FDDAC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eastAsia" w:ascii="Times New Roman" w:hAnsi="Times New Roman" w:eastAsia="微软雅黑" w:cs="Times New Roman"/>
                <w:b w:val="0"/>
                <w:bCs w:val="0"/>
                <w:sz w:val="18"/>
                <w:szCs w:val="18"/>
                <w:vertAlign w:val="baseline"/>
                <w:lang w:val="en-US" w:eastAsia="zh-CN"/>
              </w:rPr>
              <w:t>800</w:t>
            </w:r>
            <w:r>
              <w:rPr>
                <w:rFonts w:hint="default" w:ascii="Times New Roman" w:hAnsi="Times New Roman" w:eastAsia="微软雅黑" w:cs="Times New Roman"/>
                <w:b w:val="0"/>
                <w:bCs w:val="0"/>
                <w:sz w:val="18"/>
                <w:szCs w:val="18"/>
                <w:vertAlign w:val="baseline"/>
                <w:lang w:val="en-US" w:eastAsia="zh-CN"/>
              </w:rPr>
              <w:t>μl*1</w:t>
            </w:r>
          </w:p>
        </w:tc>
        <w:tc>
          <w:tcPr>
            <w:tcW w:w="2189" w:type="pct"/>
            <w:tcBorders>
              <w:top w:val="nil"/>
              <w:bottom w:val="nil"/>
            </w:tcBorders>
            <w:noWrap w:val="0"/>
            <w:vAlign w:val="center"/>
          </w:tcPr>
          <w:p w14:paraId="1944BA4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终止试剂，终止酶解反应</w:t>
            </w:r>
          </w:p>
        </w:tc>
        <w:tc>
          <w:tcPr>
            <w:tcW w:w="1124" w:type="pct"/>
            <w:tcBorders>
              <w:top w:val="nil"/>
              <w:bottom w:val="nil"/>
            </w:tcBorders>
            <w:noWrap w:val="0"/>
            <w:vAlign w:val="center"/>
          </w:tcPr>
          <w:p w14:paraId="2356AF9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3329C1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27" w:type="dxa"/>
            <w:tcBorders>
              <w:top w:val="nil"/>
              <w:bottom w:val="nil"/>
            </w:tcBorders>
            <w:noWrap w:val="0"/>
            <w:vAlign w:val="center"/>
          </w:tcPr>
          <w:p w14:paraId="69955465">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lang w:val="en-US" w:eastAsia="zh-CN"/>
              </w:rPr>
              <w:t>WASH 0</w:t>
            </w:r>
            <w:r>
              <w:rPr>
                <w:rFonts w:hint="default" w:ascii="Times New Roman" w:hAnsi="Times New Roman" w:eastAsia="微软雅黑" w:cs="Times New Roman"/>
                <w:b w:val="0"/>
                <w:bCs w:val="0"/>
                <w:color w:val="5D838E"/>
                <w:sz w:val="18"/>
                <w:szCs w:val="18"/>
                <w:highlight w:val="none"/>
                <w:shd w:val="clear" w:color="auto" w:fill="FFFFFF"/>
                <w:vertAlign w:val="baseline"/>
                <w:lang w:val="en-US" w:eastAsia="zh-CN"/>
              </w:rPr>
              <w:t>●</w:t>
            </w:r>
          </w:p>
        </w:tc>
        <w:tc>
          <w:tcPr>
            <w:tcW w:w="1520" w:type="dxa"/>
            <w:tcBorders>
              <w:top w:val="nil"/>
              <w:bottom w:val="nil"/>
            </w:tcBorders>
            <w:noWrap w:val="0"/>
            <w:vAlign w:val="center"/>
          </w:tcPr>
          <w:p w14:paraId="064D2C5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2.0m</w:t>
            </w:r>
            <w:r>
              <w:rPr>
                <w:rFonts w:hint="default" w:ascii="Times New Roman" w:hAnsi="Times New Roman" w:eastAsia="微软雅黑" w:cs="Times New Roman"/>
                <w:b w:val="0"/>
                <w:bCs w:val="0"/>
                <w:sz w:val="18"/>
                <w:szCs w:val="18"/>
                <w:vertAlign w:val="baseline"/>
                <w:lang w:val="en-US" w:eastAsia="zh-CN"/>
              </w:rPr>
              <w:t>l*1</w:t>
            </w:r>
          </w:p>
        </w:tc>
        <w:tc>
          <w:tcPr>
            <w:tcW w:w="3828" w:type="dxa"/>
            <w:tcBorders>
              <w:top w:val="nil"/>
              <w:bottom w:val="nil"/>
            </w:tcBorders>
            <w:noWrap w:val="0"/>
            <w:vAlign w:val="center"/>
          </w:tcPr>
          <w:p w14:paraId="15DD185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肽段清洗试剂，去除掉多余的石蜡</w:t>
            </w:r>
          </w:p>
        </w:tc>
        <w:tc>
          <w:tcPr>
            <w:tcW w:w="1966" w:type="dxa"/>
            <w:tcBorders>
              <w:top w:val="nil"/>
              <w:bottom w:val="nil"/>
            </w:tcBorders>
            <w:noWrap w:val="0"/>
            <w:vAlign w:val="center"/>
          </w:tcPr>
          <w:p w14:paraId="16FE9B6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kern w:val="2"/>
                <w:sz w:val="18"/>
                <w:szCs w:val="18"/>
                <w:lang w:val="en-US" w:eastAsia="zh-CN" w:bidi="ar-SA"/>
              </w:rPr>
              <w:t>常温</w:t>
            </w:r>
          </w:p>
        </w:tc>
      </w:tr>
      <w:tr w14:paraId="0B97D2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208D4CA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D</w:t>
            </w:r>
            <w:r>
              <w:rPr>
                <w:rFonts w:hint="default" w:ascii="Times New Roman" w:hAnsi="Times New Roman" w:eastAsia="微软雅黑" w:cs="Times New Roman"/>
                <w:b w:val="0"/>
                <w:bCs w:val="0"/>
                <w:sz w:val="18"/>
                <w:szCs w:val="18"/>
                <w:vertAlign w:val="baseline"/>
                <w:lang w:val="en-US" w:eastAsia="zh-CN"/>
              </w:rPr>
              <w:t xml:space="preserve"> </w:t>
            </w:r>
            <w:bookmarkStart w:id="0" w:name="OLE_LINK3"/>
            <w:r>
              <w:rPr>
                <w:rFonts w:hint="default" w:ascii="Times New Roman" w:hAnsi="Times New Roman" w:eastAsia="微软雅黑" w:cs="Times New Roman"/>
                <w:b w:val="0"/>
                <w:bCs w:val="0"/>
                <w:color w:val="00B0F0"/>
                <w:sz w:val="18"/>
                <w:szCs w:val="18"/>
                <w:vertAlign w:val="baseline"/>
                <w:lang w:val="en-US" w:eastAsia="zh-CN"/>
              </w:rPr>
              <w:t>●</w:t>
            </w:r>
            <w:bookmarkEnd w:id="0"/>
          </w:p>
        </w:tc>
        <w:tc>
          <w:tcPr>
            <w:tcW w:w="869" w:type="pct"/>
            <w:tcBorders>
              <w:top w:val="nil"/>
              <w:bottom w:val="nil"/>
            </w:tcBorders>
            <w:noWrap w:val="0"/>
            <w:vAlign w:val="center"/>
          </w:tcPr>
          <w:p w14:paraId="528D17D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val="en-US" w:eastAsia="zh-CN"/>
              </w:rPr>
            </w:pPr>
            <w:r>
              <w:rPr>
                <w:rFonts w:hint="eastAsia" w:ascii="Times New Roman" w:hAnsi="Times New Roman" w:eastAsia="微软雅黑" w:cs="Times New Roman"/>
                <w:b w:val="0"/>
                <w:bCs w:val="0"/>
                <w:sz w:val="18"/>
                <w:szCs w:val="18"/>
                <w:vertAlign w:val="baseline"/>
                <w:lang w:val="en-US" w:eastAsia="zh-CN"/>
              </w:rPr>
              <w:t>1.8m</w:t>
            </w:r>
            <w:r>
              <w:rPr>
                <w:rFonts w:hint="default" w:ascii="Times New Roman" w:hAnsi="Times New Roman" w:eastAsia="微软雅黑" w:cs="Times New Roman"/>
                <w:b w:val="0"/>
                <w:bCs w:val="0"/>
                <w:sz w:val="18"/>
                <w:szCs w:val="18"/>
                <w:vertAlign w:val="baseline"/>
                <w:lang w:val="en-US" w:eastAsia="zh-CN"/>
              </w:rPr>
              <w:t>l*1</w:t>
            </w:r>
          </w:p>
        </w:tc>
        <w:tc>
          <w:tcPr>
            <w:tcW w:w="2189" w:type="pct"/>
            <w:tcBorders>
              <w:top w:val="nil"/>
              <w:bottom w:val="nil"/>
            </w:tcBorders>
            <w:noWrap w:val="0"/>
            <w:vAlign w:val="center"/>
          </w:tcPr>
          <w:p w14:paraId="305E91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肽段清洗试剂1，清洗肽段</w:t>
            </w:r>
          </w:p>
        </w:tc>
        <w:tc>
          <w:tcPr>
            <w:tcW w:w="1124" w:type="pct"/>
            <w:tcBorders>
              <w:top w:val="nil"/>
              <w:bottom w:val="nil"/>
            </w:tcBorders>
            <w:noWrap w:val="0"/>
            <w:vAlign w:val="center"/>
          </w:tcPr>
          <w:p w14:paraId="5ACDC7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08384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582B0B97">
            <w:pPr>
              <w:spacing w:line="360" w:lineRule="auto"/>
              <w:jc w:val="center"/>
              <w:rPr>
                <w:rFonts w:hint="default" w:ascii="Times New Roman" w:hAnsi="Times New Roman" w:eastAsia="微软雅黑" w:cs="Times New Roman"/>
                <w:sz w:val="18"/>
                <w:szCs w:val="18"/>
              </w:rPr>
            </w:pPr>
            <w:r>
              <w:rPr>
                <w:rFonts w:hint="default" w:ascii="Times New Roman" w:hAnsi="Times New Roman" w:eastAsia="微软雅黑" w:cs="Times New Roman"/>
                <w:sz w:val="18"/>
                <w:szCs w:val="18"/>
              </w:rPr>
              <w:t>试剂</w:t>
            </w:r>
            <w:r>
              <w:rPr>
                <w:rFonts w:hint="default" w:ascii="Times New Roman" w:hAnsi="Times New Roman" w:eastAsia="微软雅黑" w:cs="Times New Roman"/>
                <w:sz w:val="18"/>
                <w:szCs w:val="18"/>
                <w:lang w:val="en-US" w:eastAsia="zh-CN"/>
              </w:rPr>
              <w:t xml:space="preserve">E </w:t>
            </w:r>
            <w:bookmarkStart w:id="1" w:name="OLE_LINK1"/>
            <w:r>
              <w:rPr>
                <w:rFonts w:hint="default" w:ascii="Times New Roman" w:hAnsi="Times New Roman" w:eastAsia="微软雅黑" w:cs="Times New Roman"/>
                <w:b w:val="0"/>
                <w:bCs w:val="0"/>
                <w:color w:val="2B8313"/>
                <w:sz w:val="18"/>
                <w:szCs w:val="18"/>
                <w:vertAlign w:val="baseline"/>
                <w:lang w:val="en-US" w:eastAsia="zh-CN"/>
              </w:rPr>
              <w:t>●</w:t>
            </w:r>
            <w:bookmarkEnd w:id="1"/>
          </w:p>
        </w:tc>
        <w:tc>
          <w:tcPr>
            <w:tcW w:w="869" w:type="pct"/>
            <w:tcBorders>
              <w:top w:val="nil"/>
              <w:bottom w:val="nil"/>
            </w:tcBorders>
            <w:noWrap w:val="0"/>
            <w:vAlign w:val="center"/>
          </w:tcPr>
          <w:p w14:paraId="25160B2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1.</w:t>
            </w:r>
            <w:r>
              <w:rPr>
                <w:rFonts w:hint="eastAsia" w:ascii="Times New Roman" w:hAnsi="Times New Roman" w:eastAsia="微软雅黑" w:cs="Times New Roman"/>
                <w:b w:val="0"/>
                <w:bCs w:val="0"/>
                <w:sz w:val="18"/>
                <w:szCs w:val="18"/>
                <w:vertAlign w:val="baseline"/>
                <w:lang w:val="en-US" w:eastAsia="zh-CN"/>
              </w:rPr>
              <w:t>8</w:t>
            </w:r>
            <w:r>
              <w:rPr>
                <w:rFonts w:hint="default" w:ascii="Times New Roman" w:hAnsi="Times New Roman" w:eastAsia="微软雅黑" w:cs="Times New Roman"/>
                <w:b w:val="0"/>
                <w:bCs w:val="0"/>
                <w:sz w:val="18"/>
                <w:szCs w:val="18"/>
                <w:vertAlign w:val="baseline"/>
                <w:lang w:val="en-US" w:eastAsia="zh-CN"/>
              </w:rPr>
              <w:t>ml*1</w:t>
            </w:r>
          </w:p>
        </w:tc>
        <w:tc>
          <w:tcPr>
            <w:tcW w:w="2189" w:type="pct"/>
            <w:tcBorders>
              <w:top w:val="nil"/>
              <w:bottom w:val="nil"/>
            </w:tcBorders>
            <w:noWrap w:val="0"/>
            <w:vAlign w:val="center"/>
          </w:tcPr>
          <w:p w14:paraId="617C06C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肽段清洗试剂2，清洗肽段</w:t>
            </w:r>
          </w:p>
        </w:tc>
        <w:tc>
          <w:tcPr>
            <w:tcW w:w="1124" w:type="pct"/>
            <w:tcBorders>
              <w:top w:val="nil"/>
              <w:bottom w:val="nil"/>
            </w:tcBorders>
            <w:noWrap w:val="0"/>
            <w:vAlign w:val="center"/>
          </w:tcPr>
          <w:p w14:paraId="52ED73F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常温</w:t>
            </w:r>
          </w:p>
        </w:tc>
      </w:tr>
      <w:tr w14:paraId="10FB35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57F421FB">
            <w:pPr>
              <w:spacing w:line="360" w:lineRule="auto"/>
              <w:jc w:val="center"/>
              <w:rPr>
                <w:rFonts w:hint="default" w:ascii="Times New Roman" w:hAnsi="Times New Roman" w:eastAsia="微软雅黑" w:cs="Times New Roman"/>
                <w:sz w:val="18"/>
                <w:szCs w:val="18"/>
                <w:lang w:val="en-US" w:eastAsia="zh-CN"/>
              </w:rPr>
            </w:pPr>
            <w:r>
              <w:rPr>
                <w:rFonts w:hint="default" w:ascii="Times New Roman" w:hAnsi="Times New Roman" w:eastAsia="微软雅黑" w:cs="Times New Roman"/>
                <w:sz w:val="18"/>
                <w:szCs w:val="18"/>
                <w:lang w:val="en-US" w:eastAsia="zh-CN"/>
              </w:rPr>
              <w:t xml:space="preserve">试剂F </w:t>
            </w:r>
            <w:r>
              <w:rPr>
                <w:rFonts w:hint="default" w:ascii="Times New Roman" w:hAnsi="Times New Roman" w:eastAsia="微软雅黑" w:cs="Times New Roman"/>
                <w:b w:val="0"/>
                <w:bCs w:val="0"/>
                <w:color w:val="C824AB"/>
                <w:sz w:val="21"/>
                <w:szCs w:val="21"/>
                <w:vertAlign w:val="baseline"/>
                <w:lang w:val="en-US" w:eastAsia="zh-CN"/>
              </w:rPr>
              <w:t>●</w:t>
            </w:r>
          </w:p>
        </w:tc>
        <w:tc>
          <w:tcPr>
            <w:tcW w:w="869" w:type="pct"/>
            <w:tcBorders>
              <w:top w:val="nil"/>
              <w:bottom w:val="nil"/>
            </w:tcBorders>
            <w:noWrap w:val="0"/>
            <w:vAlign w:val="center"/>
          </w:tcPr>
          <w:p w14:paraId="2375C74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sz w:val="18"/>
                <w:szCs w:val="18"/>
                <w:lang w:eastAsia="zh-CN"/>
              </w:rPr>
            </w:pPr>
            <w:bookmarkStart w:id="2" w:name="OLE_LINK2"/>
            <w:r>
              <w:rPr>
                <w:rFonts w:hint="eastAsia" w:ascii="Times New Roman" w:hAnsi="Times New Roman" w:eastAsia="微软雅黑" w:cs="Times New Roman"/>
                <w:b w:val="0"/>
                <w:bCs w:val="0"/>
                <w:sz w:val="18"/>
                <w:szCs w:val="18"/>
                <w:vertAlign w:val="baseline"/>
                <w:lang w:val="en-US" w:eastAsia="zh-CN"/>
              </w:rPr>
              <w:t>1m</w:t>
            </w:r>
            <w:r>
              <w:rPr>
                <w:rFonts w:hint="default" w:ascii="Times New Roman" w:hAnsi="Times New Roman" w:eastAsia="微软雅黑" w:cs="Times New Roman"/>
                <w:b w:val="0"/>
                <w:bCs w:val="0"/>
                <w:sz w:val="18"/>
                <w:szCs w:val="18"/>
                <w:vertAlign w:val="baseline"/>
                <w:lang w:val="en-US" w:eastAsia="zh-CN"/>
              </w:rPr>
              <w:t>l*1</w:t>
            </w:r>
            <w:bookmarkEnd w:id="2"/>
          </w:p>
        </w:tc>
        <w:tc>
          <w:tcPr>
            <w:tcW w:w="2189" w:type="pct"/>
            <w:tcBorders>
              <w:top w:val="nil"/>
              <w:bottom w:val="nil"/>
            </w:tcBorders>
            <w:noWrap w:val="0"/>
            <w:vAlign w:val="center"/>
          </w:tcPr>
          <w:p w14:paraId="7C45FA9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肽段洗脱试剂</w:t>
            </w:r>
          </w:p>
        </w:tc>
        <w:tc>
          <w:tcPr>
            <w:tcW w:w="1124" w:type="pct"/>
            <w:tcBorders>
              <w:top w:val="nil"/>
              <w:bottom w:val="nil"/>
            </w:tcBorders>
            <w:noWrap w:val="0"/>
            <w:vAlign w:val="center"/>
          </w:tcPr>
          <w:p w14:paraId="1C772D8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eastAsia" w:ascii="Times New Roman" w:hAnsi="Times New Roman" w:eastAsia="微软雅黑" w:cs="Times New Roman"/>
                <w:sz w:val="18"/>
                <w:szCs w:val="18"/>
                <w:lang w:val="en-US" w:eastAsia="zh-CN"/>
              </w:rPr>
              <w:t>常温</w:t>
            </w:r>
          </w:p>
        </w:tc>
      </w:tr>
      <w:tr w14:paraId="2E7B5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816" w:type="pct"/>
            <w:tcBorders>
              <w:top w:val="nil"/>
              <w:bottom w:val="nil"/>
            </w:tcBorders>
            <w:noWrap w:val="0"/>
            <w:vAlign w:val="center"/>
          </w:tcPr>
          <w:p w14:paraId="57361D89">
            <w:pPr>
              <w:spacing w:line="360" w:lineRule="auto"/>
              <w:jc w:val="center"/>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sz w:val="18"/>
                <w:szCs w:val="18"/>
                <w:lang w:val="en-US" w:eastAsia="zh-CN"/>
              </w:rPr>
              <w:t>Cartridge</w:t>
            </w:r>
          </w:p>
        </w:tc>
        <w:tc>
          <w:tcPr>
            <w:tcW w:w="869" w:type="pct"/>
            <w:tcBorders>
              <w:top w:val="nil"/>
              <w:bottom w:val="nil"/>
            </w:tcBorders>
            <w:noWrap w:val="0"/>
            <w:vAlign w:val="center"/>
          </w:tcPr>
          <w:p w14:paraId="46107B5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eastAsia" w:ascii="Times New Roman" w:hAnsi="Times New Roman" w:eastAsia="微软雅黑" w:cs="Times New Roman"/>
                <w:b w:val="0"/>
                <w:bCs w:val="0"/>
                <w:sz w:val="18"/>
                <w:szCs w:val="18"/>
                <w:vertAlign w:val="baseline"/>
                <w:lang w:val="en-US" w:eastAsia="zh-CN"/>
              </w:rPr>
              <w:t>3</w:t>
            </w:r>
            <w:r>
              <w:rPr>
                <w:rFonts w:hint="default" w:ascii="Times New Roman" w:hAnsi="Times New Roman" w:eastAsia="微软雅黑" w:cs="Times New Roman"/>
                <w:b w:val="0"/>
                <w:bCs w:val="0"/>
                <w:sz w:val="18"/>
                <w:szCs w:val="18"/>
                <w:vertAlign w:val="baseline"/>
                <w:lang w:val="en-US" w:eastAsia="zh-CN"/>
              </w:rPr>
              <w:t>0μg载量*</w:t>
            </w:r>
            <w:r>
              <w:rPr>
                <w:rFonts w:hint="eastAsia" w:ascii="Times New Roman" w:hAnsi="Times New Roman" w:eastAsia="微软雅黑" w:cs="Times New Roman"/>
                <w:b w:val="0"/>
                <w:bCs w:val="0"/>
                <w:sz w:val="18"/>
                <w:szCs w:val="18"/>
                <w:vertAlign w:val="baseline"/>
                <w:lang w:val="en-US" w:eastAsia="zh-CN"/>
              </w:rPr>
              <w:t>8</w:t>
            </w:r>
          </w:p>
        </w:tc>
        <w:tc>
          <w:tcPr>
            <w:tcW w:w="2189" w:type="pct"/>
            <w:tcBorders>
              <w:top w:val="nil"/>
              <w:bottom w:val="nil"/>
            </w:tcBorders>
            <w:noWrap w:val="0"/>
            <w:vAlign w:val="center"/>
          </w:tcPr>
          <w:p w14:paraId="341FAD5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肽段脱盐</w:t>
            </w:r>
          </w:p>
        </w:tc>
        <w:tc>
          <w:tcPr>
            <w:tcW w:w="1124" w:type="pct"/>
            <w:tcBorders>
              <w:top w:val="nil"/>
              <w:bottom w:val="nil"/>
            </w:tcBorders>
            <w:noWrap w:val="0"/>
            <w:vAlign w:val="center"/>
          </w:tcPr>
          <w:p w14:paraId="734F5C2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0" w:firstLineChars="0"/>
              <w:jc w:val="center"/>
              <w:textAlignment w:val="auto"/>
              <w:rPr>
                <w:rFonts w:hint="default" w:ascii="Times New Roman" w:hAnsi="Times New Roman" w:eastAsia="微软雅黑" w:cs="Times New Roman"/>
                <w:kern w:val="2"/>
                <w:sz w:val="18"/>
                <w:szCs w:val="18"/>
                <w:lang w:val="en-US" w:eastAsia="zh-CN" w:bidi="ar-SA"/>
              </w:rPr>
            </w:pPr>
            <w:r>
              <w:rPr>
                <w:rFonts w:hint="default" w:ascii="Times New Roman" w:hAnsi="Times New Roman" w:eastAsia="微软雅黑" w:cs="Times New Roman"/>
                <w:b w:val="0"/>
                <w:bCs w:val="0"/>
                <w:sz w:val="18"/>
                <w:szCs w:val="18"/>
                <w:vertAlign w:val="baseline"/>
                <w:lang w:val="en-US" w:eastAsia="zh-CN"/>
              </w:rPr>
              <w:t>常温</w:t>
            </w:r>
          </w:p>
        </w:tc>
      </w:tr>
      <w:tr w14:paraId="462CEA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3" w:hRule="atLeast"/>
        </w:trPr>
        <w:tc>
          <w:tcPr>
            <w:tcW w:w="1427" w:type="dxa"/>
            <w:tcBorders>
              <w:top w:val="nil"/>
              <w:bottom w:val="single" w:color="auto" w:sz="4" w:space="0"/>
            </w:tcBorders>
            <w:noWrap w:val="0"/>
            <w:vAlign w:val="center"/>
          </w:tcPr>
          <w:p w14:paraId="7F808B42">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sz w:val="18"/>
                <w:szCs w:val="18"/>
                <w:lang w:val="en-US" w:eastAsia="zh-CN"/>
              </w:rPr>
            </w:pPr>
            <w:r>
              <w:rPr>
                <w:rFonts w:hint="default" w:ascii="Times New Roman" w:hAnsi="Times New Roman" w:eastAsia="微软雅黑" w:cs="Times New Roman"/>
                <w:b w:val="0"/>
                <w:bCs w:val="0"/>
                <w:sz w:val="18"/>
                <w:szCs w:val="18"/>
                <w:vertAlign w:val="baseline"/>
                <w:lang w:val="en-US" w:eastAsia="zh-CN"/>
              </w:rPr>
              <w:t>Adaptor</w:t>
            </w:r>
          </w:p>
        </w:tc>
        <w:tc>
          <w:tcPr>
            <w:tcW w:w="1520" w:type="dxa"/>
            <w:tcBorders>
              <w:top w:val="nil"/>
              <w:bottom w:val="single" w:color="auto" w:sz="4" w:space="0"/>
            </w:tcBorders>
            <w:noWrap w:val="0"/>
            <w:vAlign w:val="center"/>
          </w:tcPr>
          <w:p w14:paraId="2CA6879C">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eastAsia" w:ascii="Times New Roman" w:hAnsi="Times New Roman" w:eastAsia="微软雅黑" w:cs="Times New Roman"/>
                <w:b w:val="0"/>
                <w:bCs w:val="0"/>
                <w:sz w:val="18"/>
                <w:szCs w:val="18"/>
                <w:vertAlign w:val="baseline"/>
                <w:lang w:val="en-US" w:eastAsia="zh-CN"/>
              </w:rPr>
            </w:pPr>
            <w:r>
              <w:rPr>
                <w:rFonts w:hint="eastAsia" w:ascii="Times New Roman" w:hAnsi="Times New Roman" w:eastAsia="微软雅黑" w:cs="Times New Roman"/>
                <w:b w:val="0"/>
                <w:bCs w:val="0"/>
                <w:sz w:val="18"/>
                <w:szCs w:val="18"/>
                <w:vertAlign w:val="baseline"/>
                <w:lang w:val="en-US" w:eastAsia="zh-CN"/>
              </w:rPr>
              <w:t>8</w:t>
            </w:r>
          </w:p>
        </w:tc>
        <w:tc>
          <w:tcPr>
            <w:tcW w:w="3828" w:type="dxa"/>
            <w:tcBorders>
              <w:top w:val="nil"/>
              <w:bottom w:val="single" w:color="auto" w:sz="4" w:space="0"/>
            </w:tcBorders>
            <w:noWrap w:val="0"/>
            <w:vAlign w:val="center"/>
          </w:tcPr>
          <w:p w14:paraId="65B6E73E">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除盐适配器</w:t>
            </w:r>
          </w:p>
        </w:tc>
        <w:tc>
          <w:tcPr>
            <w:tcW w:w="1966" w:type="dxa"/>
            <w:tcBorders>
              <w:top w:val="nil"/>
              <w:bottom w:val="single" w:color="auto" w:sz="4" w:space="0"/>
            </w:tcBorders>
            <w:noWrap w:val="0"/>
            <w:vAlign w:val="center"/>
          </w:tcPr>
          <w:p w14:paraId="5C4ED097">
            <w:pPr>
              <w:keepNext w:val="0"/>
              <w:keepLines w:val="0"/>
              <w:pageBreakBefore w:val="0"/>
              <w:widowControl w:val="0"/>
              <w:numPr>
                <w:ilvl w:val="0"/>
                <w:numId w:val="0"/>
              </w:numPr>
              <w:kinsoku/>
              <w:wordWrap/>
              <w:overflowPunct/>
              <w:topLinePunct w:val="0"/>
              <w:autoSpaceDE/>
              <w:autoSpaceDN/>
              <w:bidi w:val="0"/>
              <w:adjustRightInd/>
              <w:snapToGrid/>
              <w:spacing w:before="157" w:beforeLines="50" w:after="157" w:afterLines="50" w:line="240" w:lineRule="exact"/>
              <w:ind w:left="0" w:leftChars="0" w:firstLine="0" w:firstLineChars="0"/>
              <w:jc w:val="center"/>
              <w:textAlignment w:val="auto"/>
              <w:rPr>
                <w:rFonts w:hint="default" w:ascii="Times New Roman" w:hAnsi="Times New Roman" w:eastAsia="微软雅黑" w:cs="Times New Roman"/>
                <w:b w:val="0"/>
                <w:bCs w:val="0"/>
                <w:sz w:val="18"/>
                <w:szCs w:val="18"/>
                <w:vertAlign w:val="baseline"/>
                <w:lang w:val="en-US" w:eastAsia="zh-CN"/>
              </w:rPr>
            </w:pPr>
            <w:r>
              <w:rPr>
                <w:rFonts w:hint="default" w:ascii="Times New Roman" w:hAnsi="Times New Roman" w:eastAsia="微软雅黑" w:cs="Times New Roman"/>
                <w:b w:val="0"/>
                <w:bCs w:val="0"/>
                <w:sz w:val="18"/>
                <w:szCs w:val="18"/>
                <w:vertAlign w:val="baseline"/>
                <w:lang w:val="en-US" w:eastAsia="zh-CN"/>
              </w:rPr>
              <w:t>常温</w:t>
            </w:r>
          </w:p>
        </w:tc>
      </w:tr>
    </w:tbl>
    <w:p w14:paraId="4EB83026">
      <w:pPr>
        <w:numPr>
          <w:ilvl w:val="0"/>
          <w:numId w:val="0"/>
        </w:numPr>
        <w:spacing w:line="240" w:lineRule="auto"/>
        <w:ind w:leftChars="0"/>
        <w:rPr>
          <w:rFonts w:hint="eastAsia" w:ascii="微软雅黑" w:hAnsi="微软雅黑" w:eastAsia="微软雅黑" w:cs="微软雅黑"/>
          <w:b/>
          <w:bCs/>
          <w:sz w:val="21"/>
          <w:szCs w:val="21"/>
          <w:lang w:val="en-US" w:eastAsia="zh-CN"/>
        </w:rPr>
      </w:pPr>
    </w:p>
    <w:p w14:paraId="50CE2273">
      <w:pPr>
        <w:numPr>
          <w:ilvl w:val="0"/>
          <w:numId w:val="1"/>
        </w:numPr>
        <w:spacing w:line="240" w:lineRule="auto"/>
        <w:ind w:left="0" w:leftChars="0" w:firstLine="0" w:firstLineChars="0"/>
        <w:rPr>
          <w:rFonts w:hint="eastAsia" w:ascii="微软雅黑" w:hAnsi="微软雅黑" w:eastAsia="微软雅黑" w:cs="微软雅黑"/>
          <w:b/>
          <w:bCs/>
          <w:sz w:val="21"/>
          <w:szCs w:val="21"/>
          <w:lang w:val="en-US" w:eastAsia="zh-CN"/>
        </w:rPr>
      </w:pPr>
      <w:r>
        <w:rPr>
          <w:rFonts w:hint="eastAsia" w:ascii="微软雅黑" w:hAnsi="微软雅黑" w:eastAsia="微软雅黑" w:cs="微软雅黑"/>
          <w:b/>
          <w:bCs/>
          <w:sz w:val="21"/>
          <w:szCs w:val="21"/>
          <w:lang w:val="en-US" w:eastAsia="zh-CN"/>
        </w:rPr>
        <w:t>试剂盒简介：</w:t>
      </w:r>
    </w:p>
    <w:p w14:paraId="4D3C7AE1">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样品制备是蛋白质组学实验最重要的步骤之一，合适的前处理过程是实验成功的关键。</w:t>
      </w:r>
    </w:p>
    <w:p w14:paraId="16D23053">
      <w:pPr>
        <w:jc w:val="left"/>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t>FFPE样本由于含有石蜡需要预先脱蜡，整个过程比较繁琐且不好操作。易肽FFPE-Micro前处理制备试剂盒旨在以较少的样品制备步骤和较短的操作时间以获得最佳的实验结果。适用于各类FFPE样本，制备过程充分体现出其高通量、高稳健性的优势。该试剂盒提供蛋白制备包括蛋白变性、还原烷基化、蛋白酶解、脱蜡以及肽段脱盐过程的相关试剂，不需要先脱蜡后再进行后续的蛋白提取及酶解实验。基于溶液内快速酶解的前处理方法，解决了传统方法样本用量多、试剂成本高、损失大、耗时长的弊端，仅需5-6小时即可完成质谱检测前的所有步骤，且平行性好，以实现微量蛋白的快速制备及蛋白质组深度覆盖检测。</w:t>
      </w:r>
    </w:p>
    <w:p w14:paraId="06A6E9FC">
      <w:pPr>
        <w:jc w:val="center"/>
        <w:rPr>
          <w:rFonts w:hint="eastAsia" w:ascii="微软雅黑" w:hAnsi="微软雅黑" w:eastAsia="微软雅黑" w:cs="微软雅黑"/>
          <w:lang w:val="en-US" w:eastAsia="zh-CN"/>
        </w:rPr>
      </w:pPr>
      <w:r>
        <w:rPr>
          <w:rFonts w:hint="eastAsia" w:ascii="微软雅黑" w:hAnsi="微软雅黑" w:eastAsia="微软雅黑" w:cs="微软雅黑"/>
          <w:lang w:val="en-US" w:eastAsia="zh-CN"/>
        </w:rPr>
        <w:drawing>
          <wp:inline distT="0" distB="0" distL="114300" distR="114300">
            <wp:extent cx="5405755" cy="2917825"/>
            <wp:effectExtent l="0" t="0" r="0" b="15875"/>
            <wp:docPr id="1" name="图片 13" descr="OSFP00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3" descr="OSFP0006-8"/>
                    <pic:cNvPicPr>
                      <a:picLocks noChangeAspect="1"/>
                    </pic:cNvPicPr>
                  </pic:nvPicPr>
                  <pic:blipFill>
                    <a:blip r:embed="rId6"/>
                    <a:stretch>
                      <a:fillRect/>
                    </a:stretch>
                  </pic:blipFill>
                  <pic:spPr>
                    <a:xfrm>
                      <a:off x="0" y="0"/>
                      <a:ext cx="5405755" cy="2917825"/>
                    </a:xfrm>
                    <a:prstGeom prst="rect">
                      <a:avLst/>
                    </a:prstGeom>
                    <a:noFill/>
                    <a:ln>
                      <a:noFill/>
                    </a:ln>
                  </pic:spPr>
                </pic:pic>
              </a:graphicData>
            </a:graphic>
          </wp:inline>
        </w:drawing>
      </w:r>
    </w:p>
    <w:p w14:paraId="19536E6C">
      <w:pPr>
        <w:jc w:val="left"/>
        <w:rPr>
          <w:rFonts w:hint="eastAsia" w:ascii="Times New Roman" w:hAnsi="Times New Roman" w:eastAsia="微软雅黑" w:cs="Times New Roman"/>
          <w:sz w:val="18"/>
          <w:szCs w:val="18"/>
          <w:lang w:val="en-US" w:eastAsia="zh-CN"/>
        </w:rPr>
      </w:pPr>
    </w:p>
    <w:p w14:paraId="4320B8D4">
      <w:pPr>
        <w:numPr>
          <w:ilvl w:val="0"/>
          <w:numId w:val="1"/>
        </w:numPr>
        <w:spacing w:line="240" w:lineRule="auto"/>
        <w:ind w:left="0" w:leftChars="0" w:firstLine="0" w:firstLineChars="0"/>
        <w:rPr>
          <w:rFonts w:hint="eastAsia" w:ascii="微软雅黑" w:hAnsi="微软雅黑" w:eastAsia="微软雅黑" w:cs="微软雅黑"/>
          <w:b/>
          <w:bCs/>
          <w:sz w:val="21"/>
          <w:szCs w:val="21"/>
        </w:rPr>
      </w:pPr>
      <w:r>
        <w:rPr>
          <w:rFonts w:hint="eastAsia" w:ascii="微软雅黑" w:hAnsi="微软雅黑" w:eastAsia="微软雅黑" w:cs="微软雅黑"/>
          <w:b/>
          <w:bCs/>
          <w:sz w:val="21"/>
          <w:szCs w:val="21"/>
        </w:rPr>
        <w:t>需要准备的</w:t>
      </w:r>
      <w:r>
        <w:rPr>
          <w:rFonts w:hint="eastAsia" w:ascii="微软雅黑" w:hAnsi="微软雅黑" w:eastAsia="微软雅黑" w:cs="微软雅黑"/>
          <w:b/>
          <w:bCs/>
          <w:sz w:val="21"/>
          <w:szCs w:val="21"/>
          <w:lang w:val="en-US" w:eastAsia="zh-CN"/>
        </w:rPr>
        <w:t>仪器</w:t>
      </w:r>
      <w:r>
        <w:rPr>
          <w:rFonts w:hint="eastAsia" w:ascii="微软雅黑" w:hAnsi="微软雅黑" w:eastAsia="微软雅黑" w:cs="微软雅黑"/>
          <w:b/>
          <w:bCs/>
          <w:sz w:val="21"/>
          <w:szCs w:val="21"/>
        </w:rPr>
        <w:t>耗材</w:t>
      </w:r>
    </w:p>
    <w:tbl>
      <w:tblPr>
        <w:tblStyle w:val="6"/>
        <w:tblW w:w="499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01"/>
        <w:gridCol w:w="1347"/>
        <w:gridCol w:w="5693"/>
      </w:tblGrid>
      <w:tr w14:paraId="01B45C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6" w:space="0"/>
              <w:bottom w:val="single" w:color="auto" w:sz="4" w:space="0"/>
            </w:tcBorders>
            <w:noWrap w:val="0"/>
            <w:vAlign w:val="center"/>
          </w:tcPr>
          <w:p w14:paraId="079A6FC9">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设备名称</w:t>
            </w:r>
          </w:p>
        </w:tc>
        <w:tc>
          <w:tcPr>
            <w:tcW w:w="770" w:type="pct"/>
            <w:tcBorders>
              <w:top w:val="single" w:color="auto" w:sz="6" w:space="0"/>
              <w:bottom w:val="single" w:color="auto" w:sz="4" w:space="0"/>
            </w:tcBorders>
            <w:noWrap w:val="0"/>
            <w:vAlign w:val="center"/>
          </w:tcPr>
          <w:p w14:paraId="3A4C4870">
            <w:pPr>
              <w:spacing w:line="240" w:lineRule="auto"/>
              <w:jc w:val="center"/>
              <w:rPr>
                <w:rFonts w:ascii="Times New Roman" w:hAnsi="Times New Roman" w:eastAsia="微软雅黑" w:cs="Times New Roman"/>
                <w:b/>
                <w:bCs/>
                <w:sz w:val="18"/>
                <w:szCs w:val="18"/>
              </w:rPr>
            </w:pPr>
          </w:p>
        </w:tc>
        <w:tc>
          <w:tcPr>
            <w:tcW w:w="3256" w:type="pct"/>
            <w:tcBorders>
              <w:top w:val="single" w:color="auto" w:sz="6" w:space="0"/>
              <w:bottom w:val="single" w:color="auto" w:sz="4" w:space="0"/>
            </w:tcBorders>
            <w:noWrap w:val="0"/>
            <w:vAlign w:val="center"/>
          </w:tcPr>
          <w:p w14:paraId="7C257763">
            <w:pPr>
              <w:spacing w:line="240" w:lineRule="auto"/>
              <w:jc w:val="center"/>
              <w:rPr>
                <w:rFonts w:ascii="Times New Roman" w:hAnsi="Times New Roman" w:eastAsia="微软雅黑" w:cs="Times New Roman"/>
                <w:b/>
                <w:bCs/>
                <w:sz w:val="18"/>
                <w:szCs w:val="18"/>
              </w:rPr>
            </w:pPr>
            <w:r>
              <w:rPr>
                <w:rFonts w:ascii="Times New Roman" w:hAnsi="Times New Roman" w:eastAsia="微软雅黑" w:cs="Times New Roman"/>
                <w:b/>
                <w:bCs/>
                <w:sz w:val="18"/>
                <w:szCs w:val="18"/>
              </w:rPr>
              <w:t>简    介</w:t>
            </w:r>
          </w:p>
        </w:tc>
      </w:tr>
      <w:tr w14:paraId="0CAE2C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single" w:color="auto" w:sz="4" w:space="0"/>
              <w:bottom w:val="nil"/>
            </w:tcBorders>
            <w:noWrap w:val="0"/>
            <w:vAlign w:val="center"/>
          </w:tcPr>
          <w:p w14:paraId="31613241">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移液器</w:t>
            </w:r>
          </w:p>
        </w:tc>
        <w:tc>
          <w:tcPr>
            <w:tcW w:w="770" w:type="pct"/>
            <w:tcBorders>
              <w:top w:val="single" w:color="auto" w:sz="4" w:space="0"/>
              <w:bottom w:val="nil"/>
            </w:tcBorders>
            <w:noWrap w:val="0"/>
            <w:vAlign w:val="center"/>
          </w:tcPr>
          <w:p w14:paraId="1891C7BB">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381000" cy="495300"/>
                  <wp:effectExtent l="0" t="0" r="0" b="0"/>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7"/>
                          <a:stretch>
                            <a:fillRect/>
                          </a:stretch>
                        </pic:blipFill>
                        <pic:spPr>
                          <a:xfrm>
                            <a:off x="0" y="0"/>
                            <a:ext cx="381000" cy="495300"/>
                          </a:xfrm>
                          <a:prstGeom prst="rect">
                            <a:avLst/>
                          </a:prstGeom>
                          <a:noFill/>
                          <a:ln>
                            <a:noFill/>
                          </a:ln>
                        </pic:spPr>
                      </pic:pic>
                    </a:graphicData>
                  </a:graphic>
                </wp:inline>
              </w:drawing>
            </w:r>
          </w:p>
        </w:tc>
        <w:tc>
          <w:tcPr>
            <w:tcW w:w="3256" w:type="pct"/>
            <w:tcBorders>
              <w:top w:val="single" w:color="auto" w:sz="4" w:space="0"/>
              <w:bottom w:val="nil"/>
            </w:tcBorders>
            <w:noWrap w:val="0"/>
            <w:vAlign w:val="center"/>
          </w:tcPr>
          <w:p w14:paraId="5235EA6C">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吸取蛋白提取过程中的蛋白上清，减少污染物，提高蛋白定量准确度</w:t>
            </w:r>
          </w:p>
        </w:tc>
      </w:tr>
      <w:tr w14:paraId="6A459D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59B60842">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恒温混匀仪</w:t>
            </w:r>
          </w:p>
        </w:tc>
        <w:tc>
          <w:tcPr>
            <w:tcW w:w="770" w:type="pct"/>
            <w:tcBorders>
              <w:top w:val="nil"/>
              <w:bottom w:val="nil"/>
            </w:tcBorders>
            <w:noWrap w:val="0"/>
            <w:vAlign w:val="center"/>
          </w:tcPr>
          <w:p w14:paraId="197282D6">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609600" cy="508000"/>
                  <wp:effectExtent l="0" t="0" r="0" b="6350"/>
                  <wp:docPr id="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
                          <pic:cNvPicPr>
                            <a:picLocks noChangeAspect="1"/>
                          </pic:cNvPicPr>
                        </pic:nvPicPr>
                        <pic:blipFill>
                          <a:blip r:embed="rId8"/>
                          <a:stretch>
                            <a:fillRect/>
                          </a:stretch>
                        </pic:blipFill>
                        <pic:spPr>
                          <a:xfrm>
                            <a:off x="0" y="0"/>
                            <a:ext cx="609600" cy="508000"/>
                          </a:xfrm>
                          <a:prstGeom prst="rect">
                            <a:avLst/>
                          </a:prstGeom>
                          <a:noFill/>
                          <a:ln>
                            <a:noFill/>
                          </a:ln>
                        </pic:spPr>
                      </pic:pic>
                    </a:graphicData>
                  </a:graphic>
                </wp:inline>
              </w:drawing>
            </w:r>
          </w:p>
        </w:tc>
        <w:tc>
          <w:tcPr>
            <w:tcW w:w="3256" w:type="pct"/>
            <w:tcBorders>
              <w:top w:val="nil"/>
              <w:bottom w:val="nil"/>
            </w:tcBorders>
            <w:noWrap w:val="0"/>
            <w:vAlign w:val="center"/>
          </w:tcPr>
          <w:p w14:paraId="21ADB86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提供95℃及37℃的恒温条件，促进蛋白质的裂解与酶解</w:t>
            </w:r>
          </w:p>
        </w:tc>
      </w:tr>
      <w:tr w14:paraId="264CAE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3" w:hRule="atLeast"/>
          <w:jc w:val="center"/>
        </w:trPr>
        <w:tc>
          <w:tcPr>
            <w:tcW w:w="973" w:type="pct"/>
            <w:tcBorders>
              <w:top w:val="nil"/>
              <w:bottom w:val="nil"/>
            </w:tcBorders>
            <w:noWrap w:val="0"/>
            <w:vAlign w:val="center"/>
          </w:tcPr>
          <w:p w14:paraId="73CF9C0C">
            <w:pPr>
              <w:spacing w:line="240" w:lineRule="auto"/>
              <w:jc w:val="center"/>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高通量组织研磨仪</w:t>
            </w:r>
          </w:p>
        </w:tc>
        <w:tc>
          <w:tcPr>
            <w:tcW w:w="770" w:type="pct"/>
            <w:tcBorders>
              <w:top w:val="nil"/>
              <w:bottom w:val="nil"/>
            </w:tcBorders>
            <w:noWrap w:val="0"/>
            <w:vAlign w:val="center"/>
          </w:tcPr>
          <w:p w14:paraId="45B787FF">
            <w:pPr>
              <w:spacing w:line="240" w:lineRule="auto"/>
              <w:jc w:val="both"/>
              <w:rPr>
                <w:rFonts w:hint="eastAsia" w:ascii="Times New Roman" w:hAnsi="Times New Roman" w:eastAsia="微软雅黑" w:cs="Times New Roman"/>
                <w:sz w:val="18"/>
                <w:szCs w:val="18"/>
                <w:lang w:eastAsia="zh-CN"/>
              </w:rPr>
            </w:pPr>
            <w:r>
              <w:drawing>
                <wp:inline distT="0" distB="0" distL="114300" distR="114300">
                  <wp:extent cx="781685" cy="647065"/>
                  <wp:effectExtent l="0" t="0" r="18415" b="6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781685" cy="647065"/>
                          </a:xfrm>
                          <a:prstGeom prst="rect">
                            <a:avLst/>
                          </a:prstGeom>
                          <a:noFill/>
                          <a:ln>
                            <a:noFill/>
                          </a:ln>
                        </pic:spPr>
                      </pic:pic>
                    </a:graphicData>
                  </a:graphic>
                </wp:inline>
              </w:drawing>
            </w:r>
          </w:p>
        </w:tc>
        <w:tc>
          <w:tcPr>
            <w:tcW w:w="3256" w:type="pct"/>
            <w:tcBorders>
              <w:top w:val="nil"/>
              <w:bottom w:val="nil"/>
            </w:tcBorders>
            <w:noWrap w:val="0"/>
            <w:vAlign w:val="center"/>
          </w:tcPr>
          <w:p w14:paraId="15960C0E">
            <w:pPr>
              <w:spacing w:line="240" w:lineRule="auto"/>
              <w:jc w:val="left"/>
              <w:rPr>
                <w:rFonts w:ascii="Times New Roman" w:hAnsi="Times New Roman" w:eastAsia="微软雅黑" w:cs="Times New Roman"/>
                <w:sz w:val="18"/>
                <w:szCs w:val="18"/>
              </w:rPr>
            </w:pPr>
            <w:r>
              <w:rPr>
                <w:rFonts w:hint="default" w:ascii="Times New Roman" w:hAnsi="Times New Roman" w:eastAsia="微软雅黑" w:cs="Times New Roman"/>
                <w:b w:val="0"/>
                <w:bCs w:val="0"/>
                <w:sz w:val="18"/>
                <w:szCs w:val="18"/>
                <w:vertAlign w:val="baseline"/>
                <w:lang w:val="en-US" w:eastAsia="zh-CN"/>
              </w:rPr>
              <w:t>不同组织样本的破碎，抽提蛋白质</w:t>
            </w:r>
          </w:p>
        </w:tc>
      </w:tr>
      <w:tr w14:paraId="1A3680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973" w:type="pct"/>
            <w:tcBorders>
              <w:top w:val="nil"/>
              <w:bottom w:val="nil"/>
            </w:tcBorders>
            <w:noWrap w:val="0"/>
            <w:vAlign w:val="center"/>
          </w:tcPr>
          <w:p w14:paraId="74106725">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冷冻/常温离心机</w:t>
            </w:r>
          </w:p>
        </w:tc>
        <w:tc>
          <w:tcPr>
            <w:tcW w:w="770" w:type="pct"/>
            <w:tcBorders>
              <w:top w:val="nil"/>
              <w:bottom w:val="nil"/>
            </w:tcBorders>
            <w:noWrap w:val="0"/>
            <w:vAlign w:val="center"/>
          </w:tcPr>
          <w:p w14:paraId="29B0D32D">
            <w:pPr>
              <w:spacing w:line="240" w:lineRule="auto"/>
              <w:jc w:val="center"/>
              <w:rPr>
                <w:rFonts w:hint="eastAsia" w:ascii="Times New Roman" w:hAnsi="Times New Roman" w:eastAsia="微软雅黑" w:cs="Times New Roman"/>
                <w:sz w:val="18"/>
                <w:szCs w:val="18"/>
                <w:lang w:eastAsia="zh-CN"/>
              </w:rPr>
            </w:pPr>
            <w:r>
              <w:rPr>
                <w:rFonts w:hint="eastAsia" w:ascii="Times New Roman" w:hAnsi="Times New Roman" w:eastAsia="微软雅黑" w:cs="Times New Roman"/>
                <w:sz w:val="18"/>
                <w:szCs w:val="18"/>
                <w:lang w:eastAsia="zh-CN"/>
              </w:rPr>
              <w:drawing>
                <wp:inline distT="0" distB="0" distL="114300" distR="114300">
                  <wp:extent cx="533400" cy="723900"/>
                  <wp:effectExtent l="0" t="0" r="0" b="0"/>
                  <wp:docPr id="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
                          <pic:cNvPicPr>
                            <a:picLocks noChangeAspect="1"/>
                          </pic:cNvPicPr>
                        </pic:nvPicPr>
                        <pic:blipFill>
                          <a:blip r:embed="rId10"/>
                          <a:stretch>
                            <a:fillRect/>
                          </a:stretch>
                        </pic:blipFill>
                        <pic:spPr>
                          <a:xfrm>
                            <a:off x="0" y="0"/>
                            <a:ext cx="533400" cy="723900"/>
                          </a:xfrm>
                          <a:prstGeom prst="rect">
                            <a:avLst/>
                          </a:prstGeom>
                          <a:noFill/>
                          <a:ln>
                            <a:noFill/>
                          </a:ln>
                        </pic:spPr>
                      </pic:pic>
                    </a:graphicData>
                  </a:graphic>
                </wp:inline>
              </w:drawing>
            </w:r>
          </w:p>
        </w:tc>
        <w:tc>
          <w:tcPr>
            <w:tcW w:w="3256" w:type="pct"/>
            <w:tcBorders>
              <w:top w:val="nil"/>
              <w:bottom w:val="nil"/>
            </w:tcBorders>
            <w:noWrap w:val="0"/>
            <w:vAlign w:val="center"/>
          </w:tcPr>
          <w:p w14:paraId="3AA637BA">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冷冻离心机用于蛋白提取，常温离心机用于肽段脱盐，适配器支持1.5/2ml离心管</w:t>
            </w:r>
          </w:p>
        </w:tc>
      </w:tr>
      <w:tr w14:paraId="37B1C3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49" w:hRule="atLeast"/>
          <w:jc w:val="center"/>
        </w:trPr>
        <w:tc>
          <w:tcPr>
            <w:tcW w:w="973" w:type="pct"/>
            <w:tcBorders>
              <w:top w:val="nil"/>
              <w:bottom w:val="single" w:color="auto" w:sz="4" w:space="0"/>
            </w:tcBorders>
            <w:noWrap w:val="0"/>
            <w:vAlign w:val="center"/>
          </w:tcPr>
          <w:p w14:paraId="2B5F9F84">
            <w:pPr>
              <w:spacing w:line="240" w:lineRule="auto"/>
              <w:jc w:val="center"/>
              <w:rPr>
                <w:rFonts w:ascii="Times New Roman" w:hAnsi="Times New Roman" w:eastAsia="微软雅黑" w:cs="Times New Roman"/>
                <w:sz w:val="18"/>
                <w:szCs w:val="18"/>
              </w:rPr>
            </w:pPr>
            <w:r>
              <w:rPr>
                <w:rFonts w:ascii="Times New Roman" w:hAnsi="Times New Roman" w:eastAsia="微软雅黑" w:cs="Times New Roman"/>
                <w:sz w:val="18"/>
                <w:szCs w:val="18"/>
              </w:rPr>
              <w:t>真空离心浓缩仪</w:t>
            </w:r>
          </w:p>
        </w:tc>
        <w:tc>
          <w:tcPr>
            <w:tcW w:w="770" w:type="pct"/>
            <w:tcBorders>
              <w:top w:val="nil"/>
              <w:bottom w:val="single" w:color="auto" w:sz="4" w:space="0"/>
            </w:tcBorders>
            <w:noWrap w:val="0"/>
            <w:vAlign w:val="center"/>
          </w:tcPr>
          <w:p w14:paraId="3E518AB0">
            <w:pPr>
              <w:spacing w:line="240" w:lineRule="auto"/>
              <w:jc w:val="left"/>
              <w:rPr>
                <w:rFonts w:ascii="Times New Roman" w:hAnsi="Times New Roman" w:eastAsia="微软雅黑" w:cs="Times New Roman"/>
                <w:sz w:val="18"/>
                <w:szCs w:val="18"/>
              </w:rPr>
            </w:pPr>
            <w:r>
              <w:drawing>
                <wp:inline distT="0" distB="0" distL="114300" distR="114300">
                  <wp:extent cx="759460" cy="937895"/>
                  <wp:effectExtent l="0" t="0" r="2540" b="14605"/>
                  <wp:docPr id="6"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11"/>
                          <pic:cNvPicPr>
                            <a:picLocks noChangeAspect="1"/>
                          </pic:cNvPicPr>
                        </pic:nvPicPr>
                        <pic:blipFill>
                          <a:blip r:embed="rId11"/>
                          <a:stretch>
                            <a:fillRect/>
                          </a:stretch>
                        </pic:blipFill>
                        <pic:spPr>
                          <a:xfrm>
                            <a:off x="0" y="0"/>
                            <a:ext cx="759460" cy="937895"/>
                          </a:xfrm>
                          <a:prstGeom prst="rect">
                            <a:avLst/>
                          </a:prstGeom>
                          <a:noFill/>
                          <a:ln>
                            <a:noFill/>
                          </a:ln>
                        </pic:spPr>
                      </pic:pic>
                    </a:graphicData>
                  </a:graphic>
                </wp:inline>
              </w:drawing>
            </w:r>
          </w:p>
        </w:tc>
        <w:tc>
          <w:tcPr>
            <w:tcW w:w="3256" w:type="pct"/>
            <w:tcBorders>
              <w:top w:val="nil"/>
              <w:bottom w:val="single" w:color="auto" w:sz="4" w:space="0"/>
            </w:tcBorders>
            <w:noWrap w:val="0"/>
            <w:vAlign w:val="center"/>
          </w:tcPr>
          <w:p w14:paraId="48FA6919">
            <w:pPr>
              <w:spacing w:line="240" w:lineRule="auto"/>
              <w:jc w:val="left"/>
              <w:rPr>
                <w:rFonts w:ascii="Times New Roman" w:hAnsi="Times New Roman" w:eastAsia="微软雅黑" w:cs="Times New Roman"/>
                <w:sz w:val="18"/>
                <w:szCs w:val="18"/>
              </w:rPr>
            </w:pPr>
            <w:r>
              <w:rPr>
                <w:rFonts w:ascii="Times New Roman" w:hAnsi="Times New Roman" w:eastAsia="微软雅黑" w:cs="Times New Roman"/>
                <w:sz w:val="18"/>
                <w:szCs w:val="18"/>
              </w:rPr>
              <w:t>脱盐后的肽段抽干</w:t>
            </w:r>
          </w:p>
        </w:tc>
      </w:tr>
    </w:tbl>
    <w:p w14:paraId="267C4CF3">
      <w:pPr>
        <w:spacing w:line="240" w:lineRule="auto"/>
        <w:rPr>
          <w:rFonts w:ascii="Times New Roman" w:hAnsi="Times New Roman" w:eastAsia="微软雅黑" w:cs="Times New Roman"/>
          <w:color w:val="FF0000"/>
          <w:kern w:val="0"/>
          <w:sz w:val="21"/>
          <w:szCs w:val="21"/>
          <w:lang w:bidi="ar"/>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 操作过程</w:t>
      </w:r>
    </w:p>
    <w:p w14:paraId="1FB399AC">
      <w:pPr>
        <w:spacing w:line="240" w:lineRule="auto"/>
        <w:rPr>
          <w:rFonts w:hint="eastAsia"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4.1 蛋白提取</w:t>
      </w:r>
    </w:p>
    <w:p w14:paraId="4219D028">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石蜡切片</w:t>
      </w:r>
      <w:r>
        <w:rPr>
          <w:rFonts w:hint="default" w:ascii="Times New Roman" w:hAnsi="Times New Roman" w:eastAsia="微软雅黑" w:cs="Times New Roman"/>
          <w:color w:val="000000"/>
          <w:kern w:val="0"/>
          <w:sz w:val="21"/>
          <w:szCs w:val="21"/>
          <w:lang w:val="en-US" w:eastAsia="zh-CN" w:bidi="ar"/>
        </w:rPr>
        <w:t>样本，</w:t>
      </w:r>
      <w:r>
        <w:rPr>
          <w:rFonts w:hint="eastAsia" w:ascii="Times New Roman" w:hAnsi="Times New Roman" w:eastAsia="微软雅黑" w:cs="Times New Roman"/>
          <w:color w:val="000000"/>
          <w:kern w:val="0"/>
          <w:sz w:val="21"/>
          <w:szCs w:val="21"/>
          <w:lang w:val="en-US" w:eastAsia="zh-CN" w:bidi="ar"/>
        </w:rPr>
        <w:t>根据石蜡切片的数量及组织分布的大小加入</w:t>
      </w:r>
      <w:r>
        <w:rPr>
          <w:rFonts w:hint="default" w:ascii="Times New Roman" w:hAnsi="Times New Roman" w:eastAsia="微软雅黑" w:cs="Times New Roman"/>
          <w:color w:val="000000"/>
          <w:kern w:val="0"/>
          <w:sz w:val="21"/>
          <w:szCs w:val="21"/>
          <w:lang w:val="en-US" w:eastAsia="zh-CN" w:bidi="ar"/>
        </w:rPr>
        <w:t>适量试剂 0</w:t>
      </w:r>
      <w:r>
        <w:rPr>
          <w:rFonts w:hint="eastAsia" w:ascii="Times New Roman" w:hAnsi="Times New Roman" w:eastAsia="微软雅黑" w:cs="Times New Roman"/>
          <w:color w:val="000000"/>
          <w:kern w:val="0"/>
          <w:sz w:val="21"/>
          <w:szCs w:val="21"/>
          <w:lang w:val="en-US" w:eastAsia="zh-CN" w:bidi="ar"/>
        </w:rPr>
        <w:t>，BeatBox/高通量组织研磨仪震荡研磨10min（BeatBox针对的是微量样本的研磨，所以石蜡切片的组织块不能太大，石蜡切片组织量大的样本建议用高通量组织研磨仪震荡研磨）；</w:t>
      </w:r>
    </w:p>
    <w:p w14:paraId="7AF3A1F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震荡研磨结束后将样本转移至新的1.5ml离心管中，95</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1000rpm震荡孵育30min；</w:t>
      </w:r>
    </w:p>
    <w:p w14:paraId="37C3A66B">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孵育</w:t>
      </w:r>
      <w:r>
        <w:rPr>
          <w:rFonts w:hint="default" w:ascii="Times New Roman" w:hAnsi="Times New Roman" w:eastAsia="微软雅黑" w:cs="Times New Roman"/>
          <w:color w:val="000000"/>
          <w:kern w:val="0"/>
          <w:sz w:val="21"/>
          <w:szCs w:val="21"/>
          <w:lang w:val="en-US" w:eastAsia="zh-CN" w:bidi="ar"/>
        </w:rPr>
        <w:t>结束待样品恢复至室温后</w:t>
      </w:r>
      <w:r>
        <w:rPr>
          <w:rFonts w:hint="eastAsia" w:ascii="Times New Roman" w:hAnsi="Times New Roman" w:eastAsia="微软雅黑" w:cs="Times New Roman"/>
          <w:color w:val="000000"/>
          <w:kern w:val="0"/>
          <w:sz w:val="21"/>
          <w:szCs w:val="21"/>
          <w:lang w:val="en-US" w:eastAsia="zh-CN" w:bidi="ar"/>
        </w:rPr>
        <w:t>，瞬时离心；</w:t>
      </w:r>
    </w:p>
    <w:p w14:paraId="0BE3E38C">
      <w:pPr>
        <w:keepNext w:val="0"/>
        <w:keepLines w:val="0"/>
        <w:pageBreakBefore w:val="0"/>
        <w:widowControl w:val="0"/>
        <w:numPr>
          <w:ilvl w:val="0"/>
          <w:numId w:val="2"/>
        </w:numPr>
        <w:kinsoku/>
        <w:wordWrap/>
        <w:overflowPunct/>
        <w:topLinePunct w:val="0"/>
        <w:autoSpaceDE/>
        <w:autoSpaceDN/>
        <w:bidi w:val="0"/>
        <w:adjustRightInd/>
        <w:snapToGrid/>
        <w:spacing w:line="240" w:lineRule="auto"/>
        <w:ind w:left="425" w:leftChars="0" w:hanging="425" w:firstLine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然后将样本混匀后取适量样本进行后续实验。</w:t>
      </w:r>
    </w:p>
    <w:p w14:paraId="5331CAF3">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FF0000"/>
          <w:kern w:val="0"/>
          <w:sz w:val="21"/>
          <w:szCs w:val="21"/>
          <w:lang w:val="en-US" w:eastAsia="zh-CN" w:bidi="ar"/>
        </w:rPr>
      </w:pPr>
      <w:r>
        <w:rPr>
          <w:rFonts w:hint="eastAsia" w:ascii="Times New Roman" w:hAnsi="Times New Roman" w:eastAsia="微软雅黑" w:cs="Times New Roman"/>
          <w:color w:val="FF0000"/>
          <w:kern w:val="0"/>
          <w:sz w:val="21"/>
          <w:szCs w:val="21"/>
          <w:lang w:val="en-US" w:eastAsia="zh-CN" w:bidi="ar"/>
        </w:rPr>
        <w:t>备注：因为石蜡样本比较特殊，BCA定量可能会定不准，建议将样本混匀后取一部分进行后续实验，样本取出量以1mm*1mm的组织大小量为标准。</w:t>
      </w:r>
    </w:p>
    <w:p w14:paraId="7D4B8699">
      <w:pPr>
        <w:spacing w:line="240" w:lineRule="auto"/>
        <w:rPr>
          <w:rFonts w:hint="default" w:ascii="Times New Roman" w:hAnsi="Times New Roman" w:eastAsia="微软雅黑" w:cs="Times New Roman"/>
          <w:b/>
          <w:bCs/>
          <w:sz w:val="21"/>
          <w:szCs w:val="21"/>
          <w:lang w:val="en-US" w:eastAsia="zh-CN"/>
        </w:rPr>
      </w:pPr>
      <w:r>
        <w:rPr>
          <w:rFonts w:hint="eastAsia" w:ascii="Times New Roman" w:hAnsi="Times New Roman" w:eastAsia="微软雅黑" w:cs="Times New Roman"/>
          <w:b/>
          <w:bCs/>
          <w:sz w:val="21"/>
          <w:szCs w:val="21"/>
          <w:lang w:val="en-US" w:eastAsia="zh-CN"/>
        </w:rPr>
        <w:t>注：少量及微量石蜡切片组织可直接进行如下操作；</w:t>
      </w:r>
    </w:p>
    <w:p w14:paraId="4D1D8E00">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FFPE样本1片，加入60</w:t>
      </w:r>
      <w:r>
        <w:rPr>
          <w:rFonts w:hint="default" w:ascii="Times New Roman" w:hAnsi="Times New Roman" w:eastAsia="微软雅黑" w:cs="Times New Roman"/>
          <w:color w:val="000000"/>
          <w:kern w:val="0"/>
          <w:sz w:val="21"/>
          <w:szCs w:val="21"/>
          <w:lang w:val="en-US" w:eastAsia="zh-CN" w:bidi="ar"/>
        </w:rPr>
        <w:t>μ</w:t>
      </w:r>
      <w:r>
        <w:rPr>
          <w:rFonts w:hint="eastAsia" w:ascii="Times New Roman" w:hAnsi="Times New Roman" w:eastAsia="微软雅黑" w:cs="Times New Roman"/>
          <w:color w:val="000000"/>
          <w:kern w:val="0"/>
          <w:sz w:val="21"/>
          <w:szCs w:val="21"/>
          <w:lang w:val="en-US" w:eastAsia="zh-CN" w:bidi="ar"/>
        </w:rPr>
        <w:t>l试剂A，BeatBox震荡研磨10min；</w:t>
      </w:r>
    </w:p>
    <w:p w14:paraId="112EABE5">
      <w:pPr>
        <w:keepNext w:val="0"/>
        <w:keepLines w:val="0"/>
        <w:pageBreakBefore w:val="0"/>
        <w:widowControl w:val="0"/>
        <w:numPr>
          <w:ilvl w:val="0"/>
          <w:numId w:val="3"/>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研磨结束后瞬离</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b w:val="0"/>
          <w:bCs w:val="0"/>
          <w:color w:val="000000"/>
          <w:kern w:val="0"/>
          <w:sz w:val="21"/>
          <w:szCs w:val="21"/>
          <w:lang w:val="en-US" w:eastAsia="zh-CN" w:bidi="ar"/>
        </w:rPr>
        <w:t>样本</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r>
        <w:rPr>
          <w:rFonts w:hint="eastAsia" w:ascii="Times New Roman" w:hAnsi="Times New Roman" w:eastAsia="微软雅黑" w:cs="Times New Roman"/>
          <w:color w:val="000000"/>
          <w:kern w:val="0"/>
          <w:sz w:val="21"/>
          <w:szCs w:val="21"/>
          <w:lang w:val="en-US" w:eastAsia="zh-CN" w:bidi="ar"/>
        </w:rPr>
        <w:t>后直接</w:t>
      </w:r>
      <w:r>
        <w:rPr>
          <w:rFonts w:hint="default" w:ascii="Times New Roman" w:hAnsi="Times New Roman" w:eastAsia="微软雅黑" w:cs="Times New Roman"/>
          <w:b w:val="0"/>
          <w:bCs w:val="0"/>
          <w:color w:val="000000"/>
          <w:kern w:val="0"/>
          <w:sz w:val="21"/>
          <w:szCs w:val="21"/>
          <w:lang w:val="en-US" w:eastAsia="zh-CN" w:bidi="ar"/>
        </w:rPr>
        <w:t>进行后续操作</w:t>
      </w:r>
      <w:r>
        <w:rPr>
          <w:rFonts w:hint="eastAsia" w:ascii="Times New Roman" w:hAnsi="Times New Roman" w:eastAsia="微软雅黑" w:cs="Times New Roman"/>
          <w:b w:val="0"/>
          <w:bCs w:val="0"/>
          <w:color w:val="000000"/>
          <w:kern w:val="0"/>
          <w:sz w:val="21"/>
          <w:szCs w:val="21"/>
          <w:lang w:val="en-US" w:eastAsia="zh-CN" w:bidi="ar"/>
        </w:rPr>
        <w:t>4.2 b的操作；</w:t>
      </w:r>
    </w:p>
    <w:p w14:paraId="1ADA378D">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w:t>
      </w:r>
      <w:r>
        <w:rPr>
          <w:rFonts w:hint="eastAsia" w:ascii="Times New Roman" w:hAnsi="Times New Roman" w:eastAsia="微软雅黑" w:cs="Times New Roman"/>
          <w:b/>
          <w:bCs/>
          <w:sz w:val="21"/>
          <w:szCs w:val="21"/>
          <w:lang w:val="en-US" w:eastAsia="zh-CN"/>
        </w:rPr>
        <w:t>2</w:t>
      </w:r>
      <w:r>
        <w:rPr>
          <w:rFonts w:ascii="Times New Roman" w:hAnsi="Times New Roman" w:eastAsia="微软雅黑" w:cs="Times New Roman"/>
          <w:b/>
          <w:bCs/>
          <w:sz w:val="21"/>
          <w:szCs w:val="21"/>
        </w:rPr>
        <w:t xml:space="preserve"> 蛋白酶解</w:t>
      </w:r>
    </w:p>
    <w:p w14:paraId="176C8EA7">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default" w:ascii="Times New Roman" w:hAnsi="Times New Roman" w:eastAsia="微软雅黑" w:cs="Times New Roman"/>
          <w:color w:val="000000"/>
          <w:kern w:val="0"/>
          <w:sz w:val="21"/>
          <w:szCs w:val="21"/>
          <w:lang w:bidi="ar"/>
        </w:rPr>
        <w:t xml:space="preserve">a. </w:t>
      </w:r>
      <w:r>
        <w:rPr>
          <w:rFonts w:hint="default" w:ascii="Times New Roman" w:hAnsi="Times New Roman" w:eastAsia="微软雅黑" w:cs="Times New Roman"/>
          <w:color w:val="000000"/>
          <w:kern w:val="0"/>
          <w:sz w:val="21"/>
          <w:szCs w:val="21"/>
          <w:lang w:val="en-US" w:eastAsia="zh-CN" w:bidi="ar"/>
        </w:rPr>
        <w:t>步骤</w:t>
      </w:r>
      <w:r>
        <w:rPr>
          <w:rFonts w:hint="eastAsia" w:ascii="Times New Roman" w:hAnsi="Times New Roman" w:eastAsia="微软雅黑" w:cs="Times New Roman"/>
          <w:color w:val="000000"/>
          <w:kern w:val="0"/>
          <w:sz w:val="21"/>
          <w:szCs w:val="21"/>
          <w:lang w:val="en-US" w:eastAsia="zh-CN" w:bidi="ar"/>
        </w:rPr>
        <w:t>4</w:t>
      </w:r>
      <w:r>
        <w:rPr>
          <w:rFonts w:hint="default" w:ascii="Times New Roman" w:hAnsi="Times New Roman" w:eastAsia="微软雅黑" w:cs="Times New Roman"/>
          <w:color w:val="000000"/>
          <w:kern w:val="0"/>
          <w:sz w:val="21"/>
          <w:szCs w:val="21"/>
          <w:lang w:val="en-US" w:eastAsia="zh-CN" w:bidi="ar"/>
        </w:rPr>
        <w:t>.1 d中得到的蛋白溶液（</w:t>
      </w:r>
      <w:r>
        <w:rPr>
          <w:rFonts w:hint="default" w:ascii="Times New Roman" w:hAnsi="Times New Roman" w:eastAsia="微软雅黑" w:cs="Times New Roman"/>
          <w:color w:val="FF0000"/>
          <w:kern w:val="0"/>
          <w:sz w:val="21"/>
          <w:szCs w:val="21"/>
          <w:lang w:val="en-US" w:eastAsia="zh-CN" w:bidi="ar"/>
        </w:rPr>
        <w:t>建议总体积不超过</w:t>
      </w:r>
      <w:r>
        <w:rPr>
          <w:rFonts w:hint="eastAsia" w:ascii="Times New Roman" w:hAnsi="Times New Roman" w:eastAsia="微软雅黑" w:cs="Times New Roman"/>
          <w:color w:val="FF0000"/>
          <w:kern w:val="0"/>
          <w:sz w:val="21"/>
          <w:szCs w:val="21"/>
          <w:lang w:val="en-US" w:eastAsia="zh-CN" w:bidi="ar"/>
        </w:rPr>
        <w:t>3</w:t>
      </w:r>
      <w:r>
        <w:rPr>
          <w:rFonts w:hint="default" w:ascii="Times New Roman" w:hAnsi="Times New Roman" w:eastAsia="微软雅黑" w:cs="Times New Roman"/>
          <w:color w:val="FF0000"/>
          <w:kern w:val="0"/>
          <w:sz w:val="21"/>
          <w:szCs w:val="21"/>
          <w:lang w:val="en-US" w:eastAsia="zh-CN" w:bidi="ar"/>
        </w:rPr>
        <w:t>0</w:t>
      </w:r>
      <w:r>
        <w:rPr>
          <w:rFonts w:hint="default" w:ascii="Times New Roman" w:hAnsi="Times New Roman" w:eastAsia="微软雅黑" w:cs="Times New Roman"/>
          <w:color w:val="FF0000"/>
          <w:kern w:val="0"/>
          <w:sz w:val="21"/>
          <w:szCs w:val="21"/>
          <w:highlight w:val="none"/>
          <w:lang w:val="en-US" w:eastAsia="zh-CN" w:bidi="ar"/>
        </w:rPr>
        <w:t>μl</w:t>
      </w:r>
      <w:r>
        <w:rPr>
          <w:rFonts w:hint="eastAsia" w:ascii="Times New Roman" w:hAnsi="Times New Roman" w:eastAsia="微软雅黑" w:cs="Times New Roman"/>
          <w:color w:val="FF0000"/>
          <w:kern w:val="0"/>
          <w:sz w:val="21"/>
          <w:szCs w:val="21"/>
          <w:highlight w:val="none"/>
          <w:lang w:val="en-US" w:eastAsia="zh-CN" w:bidi="ar"/>
        </w:rPr>
        <w:t>，</w:t>
      </w:r>
      <w:r>
        <w:rPr>
          <w:rFonts w:hint="default" w:ascii="Times New Roman" w:hAnsi="Times New Roman" w:eastAsia="微软雅黑" w:cs="Times New Roman"/>
          <w:color w:val="FF0000"/>
          <w:kern w:val="0"/>
          <w:sz w:val="21"/>
          <w:szCs w:val="21"/>
          <w:highlight w:val="none"/>
          <w:lang w:val="en-US" w:eastAsia="zh-CN" w:bidi="ar"/>
        </w:rPr>
        <w:t>如果体积不到30μl请用试剂0补到30μl</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加入</w:t>
      </w:r>
      <w:r>
        <w:rPr>
          <w:rFonts w:hint="default" w:ascii="Times New Roman" w:hAnsi="Times New Roman" w:eastAsia="微软雅黑" w:cs="Times New Roman"/>
          <w:color w:val="000000"/>
          <w:kern w:val="0"/>
          <w:sz w:val="21"/>
          <w:szCs w:val="21"/>
          <w:lang w:val="en-US" w:eastAsia="zh-CN" w:bidi="ar"/>
        </w:rPr>
        <w:t xml:space="preserve">试剂A </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0 μl，吹打混匀</w:t>
      </w:r>
      <w:r>
        <w:rPr>
          <w:rFonts w:hint="eastAsia" w:ascii="Times New Roman" w:hAnsi="Times New Roman" w:eastAsia="微软雅黑" w:cs="Times New Roman"/>
          <w:color w:val="000000"/>
          <w:kern w:val="0"/>
          <w:sz w:val="21"/>
          <w:szCs w:val="21"/>
          <w:lang w:val="en-US" w:eastAsia="zh-CN" w:bidi="ar"/>
        </w:rPr>
        <w:t>，</w:t>
      </w:r>
      <w:r>
        <w:rPr>
          <w:rFonts w:hint="default" w:ascii="Times New Roman" w:hAnsi="Times New Roman" w:eastAsia="微软雅黑" w:cs="Times New Roman"/>
          <w:color w:val="000000"/>
          <w:kern w:val="0"/>
          <w:sz w:val="21"/>
          <w:szCs w:val="21"/>
          <w:lang w:val="en-US" w:eastAsia="zh-CN" w:bidi="ar"/>
        </w:rPr>
        <w:t>95℃加热</w:t>
      </w:r>
      <w:r>
        <w:rPr>
          <w:rFonts w:hint="eastAsia" w:ascii="Times New Roman" w:hAnsi="Times New Roman" w:eastAsia="微软雅黑" w:cs="Times New Roman"/>
          <w:color w:val="000000"/>
          <w:kern w:val="0"/>
          <w:sz w:val="21"/>
          <w:szCs w:val="21"/>
          <w:lang w:val="en-US" w:eastAsia="zh-CN" w:bidi="ar"/>
        </w:rPr>
        <w:t>2h</w:t>
      </w:r>
      <w:r>
        <w:rPr>
          <w:rFonts w:hint="default" w:ascii="Times New Roman" w:hAnsi="Times New Roman" w:eastAsia="微软雅黑" w:cs="Times New Roman"/>
          <w:color w:val="000000"/>
          <w:kern w:val="0"/>
          <w:sz w:val="21"/>
          <w:szCs w:val="21"/>
          <w:lang w:val="en-US" w:eastAsia="zh-CN" w:bidi="ar"/>
        </w:rPr>
        <w:t>（95℃，1000rpm）；</w:t>
      </w:r>
    </w:p>
    <w:p w14:paraId="20B48DD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 加热结束待样品恢复至室温后，分别加入</w:t>
      </w:r>
      <w:r>
        <w:rPr>
          <w:rFonts w:hint="eastAsia" w:ascii="Times New Roman" w:hAnsi="Times New Roman" w:eastAsia="微软雅黑" w:cs="Times New Roman"/>
          <w:color w:val="000000"/>
          <w:kern w:val="0"/>
          <w:sz w:val="21"/>
          <w:szCs w:val="21"/>
          <w:lang w:val="en-US" w:eastAsia="zh-CN" w:bidi="ar"/>
        </w:rPr>
        <w:t>15</w:t>
      </w:r>
      <w:r>
        <w:rPr>
          <w:rFonts w:hint="default" w:ascii="Times New Roman" w:hAnsi="Times New Roman" w:eastAsia="微软雅黑" w:cs="Times New Roman"/>
          <w:color w:val="000000"/>
          <w:kern w:val="0"/>
          <w:sz w:val="21"/>
          <w:szCs w:val="21"/>
          <w:lang w:val="en-US" w:eastAsia="zh-CN" w:bidi="ar"/>
        </w:rPr>
        <w:t>μl试剂</w:t>
      </w:r>
      <w:r>
        <w:rPr>
          <w:rFonts w:hint="eastAsia" w:ascii="Times New Roman" w:hAnsi="Times New Roman" w:eastAsia="微软雅黑" w:cs="Times New Roman"/>
          <w:color w:val="000000"/>
          <w:kern w:val="0"/>
          <w:sz w:val="21"/>
          <w:szCs w:val="21"/>
          <w:lang w:val="en-US" w:eastAsia="zh-CN" w:bidi="ar"/>
        </w:rPr>
        <w:t>B</w:t>
      </w:r>
      <w:r>
        <w:rPr>
          <w:rFonts w:hint="default" w:ascii="Times New Roman" w:hAnsi="Times New Roman" w:eastAsia="微软雅黑" w:cs="Times New Roman"/>
          <w:color w:val="000000"/>
          <w:kern w:val="0"/>
          <w:sz w:val="21"/>
          <w:szCs w:val="21"/>
          <w:lang w:val="en-US" w:eastAsia="zh-CN" w:bidi="ar"/>
        </w:rPr>
        <w:t>，混匀，37℃酶解</w:t>
      </w:r>
      <w:r>
        <w:rPr>
          <w:rFonts w:hint="eastAsia" w:ascii="Times New Roman" w:hAnsi="Times New Roman" w:eastAsia="微软雅黑" w:cs="Times New Roman"/>
          <w:color w:val="000000"/>
          <w:kern w:val="0"/>
          <w:sz w:val="21"/>
          <w:szCs w:val="21"/>
          <w:lang w:val="en-US" w:eastAsia="zh-CN" w:bidi="ar"/>
        </w:rPr>
        <w:t>3</w:t>
      </w:r>
      <w:r>
        <w:rPr>
          <w:rFonts w:hint="default" w:ascii="Times New Roman" w:hAnsi="Times New Roman" w:eastAsia="微软雅黑" w:cs="Times New Roman"/>
          <w:color w:val="000000"/>
          <w:kern w:val="0"/>
          <w:sz w:val="21"/>
          <w:szCs w:val="21"/>
          <w:lang w:val="en-US" w:eastAsia="zh-CN" w:bidi="ar"/>
        </w:rPr>
        <w:t>h</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37</w:t>
      </w:r>
      <w:r>
        <w:rPr>
          <w:rFonts w:hint="default" w:ascii="Times New Roman" w:hAnsi="Times New Roman" w:eastAsia="微软雅黑" w:cs="Times New Roman"/>
          <w:color w:val="000000"/>
          <w:kern w:val="0"/>
          <w:sz w:val="21"/>
          <w:szCs w:val="21"/>
          <w:lang w:val="en-US" w:eastAsia="zh-CN" w:bidi="ar"/>
        </w:rPr>
        <w:t>℃，</w:t>
      </w:r>
      <w:r>
        <w:rPr>
          <w:rFonts w:hint="eastAsia" w:ascii="Times New Roman" w:hAnsi="Times New Roman" w:eastAsia="微软雅黑" w:cs="Times New Roman"/>
          <w:color w:val="000000"/>
          <w:kern w:val="0"/>
          <w:sz w:val="21"/>
          <w:szCs w:val="21"/>
          <w:lang w:val="en-US" w:eastAsia="zh-CN" w:bidi="ar"/>
        </w:rPr>
        <w:t>8</w:t>
      </w:r>
      <w:r>
        <w:rPr>
          <w:rFonts w:hint="default" w:ascii="Times New Roman" w:hAnsi="Times New Roman" w:eastAsia="微软雅黑" w:cs="Times New Roman"/>
          <w:color w:val="000000"/>
          <w:kern w:val="0"/>
          <w:sz w:val="21"/>
          <w:szCs w:val="21"/>
          <w:lang w:val="en-US" w:eastAsia="zh-CN" w:bidi="ar"/>
        </w:rPr>
        <w:t>00</w:t>
      </w:r>
      <w:r>
        <w:rPr>
          <w:rFonts w:hint="eastAsia" w:ascii="Times New Roman" w:hAnsi="Times New Roman" w:eastAsia="微软雅黑" w:cs="Times New Roman"/>
          <w:color w:val="000000"/>
          <w:kern w:val="0"/>
          <w:sz w:val="21"/>
          <w:szCs w:val="21"/>
          <w:lang w:val="en-US" w:eastAsia="zh-CN" w:bidi="ar"/>
        </w:rPr>
        <w:t xml:space="preserve"> </w:t>
      </w:r>
      <w:r>
        <w:rPr>
          <w:rFonts w:hint="default" w:ascii="Times New Roman" w:hAnsi="Times New Roman" w:eastAsia="微软雅黑" w:cs="Times New Roman"/>
          <w:color w:val="000000"/>
          <w:kern w:val="0"/>
          <w:sz w:val="21"/>
          <w:szCs w:val="21"/>
          <w:lang w:val="en-US" w:eastAsia="zh-CN" w:bidi="ar"/>
        </w:rPr>
        <w:t>rpm）；</w:t>
      </w:r>
    </w:p>
    <w:p w14:paraId="3F85D6DA">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ascii="Times New Roman" w:hAnsi="Times New Roman" w:eastAsia="微软雅黑" w:cs="Times New Roman"/>
          <w:b/>
          <w:bCs/>
          <w:sz w:val="21"/>
          <w:szCs w:val="21"/>
        </w:rPr>
      </w:pP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val="en-US" w:eastAsia="zh-CN" w:bidi="ar"/>
        </w:rPr>
        <w:t>. 酶解结束后加入</w:t>
      </w:r>
      <w:r>
        <w:rPr>
          <w:rFonts w:hint="eastAsia" w:ascii="Times New Roman" w:hAnsi="Times New Roman" w:eastAsia="微软雅黑" w:cs="Times New Roman"/>
          <w:color w:val="000000"/>
          <w:kern w:val="0"/>
          <w:sz w:val="21"/>
          <w:szCs w:val="21"/>
          <w:lang w:val="en-US" w:eastAsia="zh-CN" w:bidi="ar"/>
        </w:rPr>
        <w:t>75</w:t>
      </w:r>
      <w:r>
        <w:rPr>
          <w:rFonts w:hint="default" w:ascii="Times New Roman" w:hAnsi="Times New Roman" w:eastAsia="微软雅黑" w:cs="Times New Roman"/>
          <w:color w:val="000000"/>
          <w:kern w:val="0"/>
          <w:sz w:val="21"/>
          <w:szCs w:val="21"/>
          <w:lang w:val="en-US" w:eastAsia="zh-CN" w:bidi="ar"/>
        </w:rPr>
        <w:t xml:space="preserve"> μl试剂</w:t>
      </w:r>
      <w:r>
        <w:rPr>
          <w:rFonts w:hint="eastAsia" w:ascii="Times New Roman" w:hAnsi="Times New Roman" w:eastAsia="微软雅黑" w:cs="Times New Roman"/>
          <w:color w:val="000000"/>
          <w:kern w:val="0"/>
          <w:sz w:val="21"/>
          <w:szCs w:val="21"/>
          <w:lang w:val="en-US" w:eastAsia="zh-CN" w:bidi="ar"/>
        </w:rPr>
        <w:t>C</w:t>
      </w:r>
      <w:r>
        <w:rPr>
          <w:rFonts w:hint="default" w:ascii="Times New Roman" w:hAnsi="Times New Roman" w:eastAsia="微软雅黑" w:cs="Times New Roman"/>
          <w:color w:val="000000"/>
          <w:kern w:val="0"/>
          <w:sz w:val="21"/>
          <w:szCs w:val="21"/>
          <w:lang w:val="en-US" w:eastAsia="zh-CN" w:bidi="ar"/>
        </w:rPr>
        <w:t>，混匀，终止酶解反应，20000g离心1min吸取上清待后续脱盐。</w:t>
      </w:r>
    </w:p>
    <w:p w14:paraId="25BB37BB">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4</w:t>
      </w:r>
      <w:r>
        <w:rPr>
          <w:rFonts w:ascii="Times New Roman" w:hAnsi="Times New Roman" w:eastAsia="微软雅黑" w:cs="Times New Roman"/>
          <w:b/>
          <w:bCs/>
          <w:sz w:val="21"/>
          <w:szCs w:val="21"/>
        </w:rPr>
        <w:t>.3 肽段脱盐</w:t>
      </w:r>
    </w:p>
    <w:p w14:paraId="6E652321">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加载样本：将样本</w:t>
      </w:r>
      <w:r>
        <w:rPr>
          <w:rFonts w:hint="eastAsia" w:ascii="Times New Roman" w:hAnsi="Times New Roman" w:eastAsia="微软雅黑" w:cs="Times New Roman"/>
          <w:color w:val="000000"/>
          <w:kern w:val="0"/>
          <w:sz w:val="21"/>
          <w:szCs w:val="21"/>
          <w:lang w:bidi="ar"/>
        </w:rPr>
        <w:t>（1-30</w:t>
      </w:r>
      <w:r>
        <w:rPr>
          <w:rFonts w:hint="default" w:ascii="Times New Roman" w:hAnsi="Times New Roman" w:eastAsia="微软雅黑" w:cs="Times New Roman"/>
          <w:color w:val="000000"/>
          <w:kern w:val="0"/>
          <w:sz w:val="21"/>
          <w:szCs w:val="21"/>
          <w:lang w:bidi="ar"/>
        </w:rPr>
        <w:t>μ</w:t>
      </w:r>
      <w:r>
        <w:rPr>
          <w:rFonts w:hint="eastAsia" w:ascii="Times New Roman" w:hAnsi="Times New Roman" w:eastAsia="微软雅黑" w:cs="Times New Roman"/>
          <w:color w:val="000000"/>
          <w:kern w:val="0"/>
          <w:sz w:val="21"/>
          <w:szCs w:val="21"/>
          <w:lang w:bidi="ar"/>
        </w:rPr>
        <w:t>g）</w:t>
      </w:r>
      <w:r>
        <w:rPr>
          <w:rFonts w:ascii="Times New Roman" w:hAnsi="Times New Roman" w:eastAsia="微软雅黑" w:cs="Times New Roman"/>
          <w:color w:val="000000"/>
          <w:kern w:val="0"/>
          <w:sz w:val="21"/>
          <w:szCs w:val="21"/>
          <w:lang w:bidi="ar"/>
        </w:rPr>
        <w:t>全部加载到脱盐柱中，700g离心1min，重复操作一次；</w:t>
      </w:r>
    </w:p>
    <w:p w14:paraId="1FC59C0E">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除蜡：100</w:t>
      </w:r>
      <w:r>
        <w:rPr>
          <w:rFonts w:hint="default" w:ascii="Times New Roman" w:hAnsi="Times New Roman" w:eastAsia="微软雅黑" w:cs="Times New Roman"/>
          <w:color w:val="000000"/>
          <w:kern w:val="0"/>
          <w:sz w:val="21"/>
          <w:szCs w:val="21"/>
          <w:lang w:val="en-US" w:eastAsia="zh-CN" w:bidi="ar"/>
        </w:rPr>
        <w:t>μl</w:t>
      </w:r>
      <w:r>
        <w:rPr>
          <w:rFonts w:hint="eastAsia" w:ascii="Times New Roman" w:hAnsi="Times New Roman" w:eastAsia="微软雅黑" w:cs="Times New Roman"/>
          <w:color w:val="000000"/>
          <w:kern w:val="0"/>
          <w:sz w:val="21"/>
          <w:szCs w:val="21"/>
          <w:lang w:val="en-US" w:eastAsia="zh-CN" w:bidi="ar"/>
        </w:rPr>
        <w:t>试剂WASH 0</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p>
    <w:p w14:paraId="4A535DB6">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hint="eastAsia" w:ascii="Times New Roman" w:hAnsi="Times New Roman" w:eastAsia="微软雅黑" w:cs="Times New Roman"/>
          <w:color w:val="000000"/>
          <w:kern w:val="0"/>
          <w:sz w:val="21"/>
          <w:szCs w:val="21"/>
          <w:lang w:val="en-US" w:eastAsia="zh-CN" w:bidi="ar"/>
        </w:rPr>
        <w:t>脱盐柱清洗1</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0μl </w:t>
      </w:r>
      <w:r>
        <w:rPr>
          <w:rFonts w:hint="eastAsia" w:ascii="Times New Roman" w:hAnsi="Times New Roman" w:eastAsia="微软雅黑" w:cs="Times New Roman"/>
          <w:color w:val="000000"/>
          <w:kern w:val="0"/>
          <w:sz w:val="21"/>
          <w:szCs w:val="21"/>
          <w:lang w:val="en-US" w:eastAsia="zh-CN" w:bidi="ar"/>
        </w:rPr>
        <w:t>试剂D</w:t>
      </w:r>
      <w:r>
        <w:rPr>
          <w:rFonts w:ascii="Times New Roman" w:hAnsi="Times New Roman" w:eastAsia="微软雅黑" w:cs="Times New Roman"/>
          <w:color w:val="000000"/>
          <w:kern w:val="0"/>
          <w:sz w:val="21"/>
          <w:szCs w:val="21"/>
          <w:lang w:bidi="ar"/>
        </w:rPr>
        <w:t>加入到脱盐柱中，700g离心1min</w:t>
      </w:r>
      <w:r>
        <w:rPr>
          <w:rFonts w:hint="eastAsia" w:ascii="Times New Roman" w:hAnsi="Times New Roman" w:eastAsia="微软雅黑" w:cs="Times New Roman"/>
          <w:color w:val="000000"/>
          <w:kern w:val="0"/>
          <w:sz w:val="21"/>
          <w:szCs w:val="21"/>
          <w:lang w:eastAsia="zh-CN" w:bidi="ar"/>
        </w:rPr>
        <w:t>，</w:t>
      </w:r>
      <w:r>
        <w:rPr>
          <w:rFonts w:hint="eastAsia" w:ascii="Times New Roman" w:hAnsi="Times New Roman" w:eastAsia="微软雅黑" w:cs="Times New Roman"/>
          <w:color w:val="000000"/>
          <w:kern w:val="0"/>
          <w:sz w:val="21"/>
          <w:szCs w:val="21"/>
          <w:lang w:val="en-US" w:eastAsia="zh-CN" w:bidi="ar"/>
        </w:rPr>
        <w:t>重复操作一次</w:t>
      </w:r>
      <w:r>
        <w:rPr>
          <w:rFonts w:ascii="Times New Roman" w:hAnsi="Times New Roman" w:eastAsia="微软雅黑" w:cs="Times New Roman"/>
          <w:color w:val="000000"/>
          <w:kern w:val="0"/>
          <w:sz w:val="21"/>
          <w:szCs w:val="21"/>
          <w:lang w:bidi="ar"/>
        </w:rPr>
        <w:t>；</w:t>
      </w:r>
    </w:p>
    <w:p w14:paraId="0748493C">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脱盐柱清洗</w:t>
      </w:r>
      <w:r>
        <w:rPr>
          <w:rFonts w:hint="eastAsia" w:ascii="Times New Roman" w:hAnsi="Times New Roman" w:eastAsia="微软雅黑" w:cs="Times New Roman"/>
          <w:color w:val="000000"/>
          <w:kern w:val="0"/>
          <w:sz w:val="21"/>
          <w:szCs w:val="21"/>
          <w:lang w:val="en-US" w:eastAsia="zh-CN" w:bidi="ar"/>
        </w:rPr>
        <w:t>2</w:t>
      </w:r>
      <w:r>
        <w:rPr>
          <w:rFonts w:ascii="Times New Roman" w:hAnsi="Times New Roman" w:eastAsia="微软雅黑" w:cs="Times New Roman"/>
          <w:color w:val="000000"/>
          <w:kern w:val="0"/>
          <w:sz w:val="21"/>
          <w:szCs w:val="21"/>
          <w:lang w:bidi="ar"/>
        </w:rPr>
        <w:t>：</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 xml:space="preserve">0μl </w:t>
      </w:r>
      <w:r>
        <w:rPr>
          <w:rFonts w:hint="eastAsia" w:ascii="Times New Roman" w:hAnsi="Times New Roman" w:eastAsia="微软雅黑" w:cs="Times New Roman"/>
          <w:color w:val="000000"/>
          <w:kern w:val="0"/>
          <w:sz w:val="21"/>
          <w:szCs w:val="21"/>
          <w:lang w:val="en-US" w:eastAsia="zh-CN" w:bidi="ar"/>
        </w:rPr>
        <w:t>试剂E</w:t>
      </w:r>
      <w:r>
        <w:rPr>
          <w:rFonts w:ascii="Times New Roman" w:hAnsi="Times New Roman" w:eastAsia="微软雅黑" w:cs="Times New Roman"/>
          <w:color w:val="000000"/>
          <w:kern w:val="0"/>
          <w:sz w:val="21"/>
          <w:szCs w:val="21"/>
          <w:lang w:bidi="ar"/>
        </w:rPr>
        <w:t>加入到脱盐柱中，700g离心1min，重复操作一次；</w:t>
      </w:r>
    </w:p>
    <w:p w14:paraId="07C1B364">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样本洗脱：</w:t>
      </w:r>
      <w:r>
        <w:rPr>
          <w:rFonts w:hint="eastAsia" w:ascii="Times New Roman" w:hAnsi="Times New Roman" w:eastAsia="微软雅黑" w:cs="Times New Roman"/>
          <w:color w:val="000000"/>
          <w:kern w:val="0"/>
          <w:sz w:val="21"/>
          <w:szCs w:val="21"/>
          <w:lang w:val="en-US" w:eastAsia="zh-CN" w:bidi="ar"/>
        </w:rPr>
        <w:t>5</w:t>
      </w:r>
      <w:r>
        <w:rPr>
          <w:rFonts w:ascii="Times New Roman" w:hAnsi="Times New Roman" w:eastAsia="微软雅黑" w:cs="Times New Roman"/>
          <w:color w:val="000000"/>
          <w:kern w:val="0"/>
          <w:sz w:val="21"/>
          <w:szCs w:val="21"/>
          <w:lang w:bidi="ar"/>
        </w:rPr>
        <w:t xml:space="preserve">0μl </w:t>
      </w:r>
      <w:r>
        <w:rPr>
          <w:rFonts w:hint="eastAsia" w:ascii="Times New Roman" w:hAnsi="Times New Roman" w:eastAsia="微软雅黑" w:cs="Times New Roman"/>
          <w:color w:val="000000"/>
          <w:kern w:val="0"/>
          <w:sz w:val="21"/>
          <w:szCs w:val="21"/>
          <w:lang w:val="en-US" w:eastAsia="zh-CN" w:bidi="ar"/>
        </w:rPr>
        <w:t>试剂F</w:t>
      </w:r>
      <w:r>
        <w:rPr>
          <w:rFonts w:ascii="Times New Roman" w:hAnsi="Times New Roman" w:eastAsia="微软雅黑" w:cs="Times New Roman"/>
          <w:color w:val="000000"/>
          <w:kern w:val="0"/>
          <w:sz w:val="21"/>
          <w:szCs w:val="21"/>
          <w:lang w:bidi="ar"/>
        </w:rPr>
        <w:t>加入到脱盐柱中，700g离心1min，洗脱两次，最终样本体积为</w:t>
      </w:r>
      <w:r>
        <w:rPr>
          <w:rFonts w:hint="eastAsia" w:ascii="Times New Roman" w:hAnsi="Times New Roman" w:eastAsia="微软雅黑" w:cs="Times New Roman"/>
          <w:color w:val="000000"/>
          <w:kern w:val="0"/>
          <w:sz w:val="21"/>
          <w:szCs w:val="21"/>
          <w:lang w:val="en-US" w:eastAsia="zh-CN" w:bidi="ar"/>
        </w:rPr>
        <w:t>10</w:t>
      </w:r>
      <w:r>
        <w:rPr>
          <w:rFonts w:ascii="Times New Roman" w:hAnsi="Times New Roman" w:eastAsia="微软雅黑" w:cs="Times New Roman"/>
          <w:color w:val="000000"/>
          <w:kern w:val="0"/>
          <w:sz w:val="21"/>
          <w:szCs w:val="21"/>
          <w:lang w:bidi="ar"/>
        </w:rPr>
        <w:t>0μl；</w:t>
      </w:r>
    </w:p>
    <w:p w14:paraId="21A6D451">
      <w:pPr>
        <w:widowControl/>
        <w:numPr>
          <w:ilvl w:val="0"/>
          <w:numId w:val="4"/>
        </w:numPr>
        <w:spacing w:line="240" w:lineRule="auto"/>
        <w:jc w:val="left"/>
        <w:rPr>
          <w:rFonts w:ascii="Times New Roman" w:hAnsi="Times New Roman" w:eastAsia="微软雅黑" w:cs="Times New Roman"/>
          <w:color w:val="000000"/>
          <w:kern w:val="0"/>
          <w:sz w:val="21"/>
          <w:szCs w:val="21"/>
          <w:lang w:bidi="ar"/>
        </w:rPr>
      </w:pPr>
      <w:r>
        <w:rPr>
          <w:rFonts w:ascii="Times New Roman" w:hAnsi="Times New Roman" w:eastAsia="微软雅黑" w:cs="Times New Roman"/>
          <w:color w:val="000000"/>
          <w:kern w:val="0"/>
          <w:sz w:val="21"/>
          <w:szCs w:val="21"/>
          <w:lang w:bidi="ar"/>
        </w:rPr>
        <w:t>真空冷冻离心浓缩仪浓缩样本。</w:t>
      </w:r>
    </w:p>
    <w:p w14:paraId="574D19CE">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Chars="0"/>
        <w:textAlignment w:val="auto"/>
        <w:rPr>
          <w:rFonts w:hint="default" w:ascii="Times New Roman" w:hAnsi="Times New Roman" w:eastAsia="微软雅黑" w:cs="Times New Roman"/>
          <w:color w:val="000000"/>
          <w:kern w:val="0"/>
          <w:sz w:val="21"/>
          <w:szCs w:val="21"/>
          <w:lang w:val="en-US" w:eastAsia="zh-CN" w:bidi="ar"/>
        </w:rPr>
      </w:pPr>
    </w:p>
    <w:p w14:paraId="6157A681">
      <w:pPr>
        <w:spacing w:line="240" w:lineRule="auto"/>
        <w:rPr>
          <w:rFonts w:ascii="Times New Roman" w:hAnsi="Times New Roman" w:eastAsia="微软雅黑" w:cs="Times New Roman"/>
          <w:b/>
          <w:bCs/>
          <w:sz w:val="21"/>
          <w:szCs w:val="21"/>
        </w:rPr>
      </w:pPr>
      <w:r>
        <w:rPr>
          <w:rFonts w:hint="eastAsia" w:ascii="Times New Roman" w:hAnsi="Times New Roman" w:eastAsia="微软雅黑" w:cs="Times New Roman"/>
          <w:b/>
          <w:bCs/>
          <w:sz w:val="21"/>
          <w:szCs w:val="21"/>
          <w:lang w:val="en-US" w:eastAsia="zh-CN"/>
        </w:rPr>
        <w:t>5</w:t>
      </w:r>
      <w:r>
        <w:rPr>
          <w:rFonts w:ascii="Times New Roman" w:hAnsi="Times New Roman" w:eastAsia="微软雅黑" w:cs="Times New Roman"/>
          <w:b/>
          <w:bCs/>
          <w:sz w:val="21"/>
          <w:szCs w:val="21"/>
        </w:rPr>
        <w:t>. 注意事项</w:t>
      </w:r>
    </w:p>
    <w:p w14:paraId="5531C20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震荡研磨不充分可适当延长研磨时间；</w:t>
      </w:r>
    </w:p>
    <w:p w14:paraId="621C263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hint="eastAsia" w:ascii="Times New Roman" w:hAnsi="Times New Roman" w:eastAsia="微软雅黑" w:cs="Times New Roman"/>
          <w:color w:val="000000"/>
          <w:kern w:val="0"/>
          <w:sz w:val="18"/>
          <w:szCs w:val="18"/>
          <w:lang w:val="en-US" w:eastAsia="zh-CN" w:bidi="ar"/>
        </w:rPr>
        <w:t>试剂0和试剂A低温下会析出，建议使用前置于水浴锅中（56</w:t>
      </w:r>
      <w:r>
        <w:rPr>
          <w:rFonts w:hint="default" w:ascii="Times New Roman" w:hAnsi="Times New Roman" w:eastAsia="微软雅黑" w:cs="Times New Roman"/>
          <w:color w:val="000000"/>
          <w:kern w:val="0"/>
          <w:sz w:val="18"/>
          <w:szCs w:val="18"/>
          <w:lang w:val="en-US" w:eastAsia="zh-CN" w:bidi="ar"/>
        </w:rPr>
        <w:t>℃</w:t>
      </w:r>
      <w:r>
        <w:rPr>
          <w:rFonts w:hint="eastAsia" w:ascii="Times New Roman" w:hAnsi="Times New Roman" w:eastAsia="微软雅黑" w:cs="Times New Roman"/>
          <w:color w:val="000000"/>
          <w:kern w:val="0"/>
          <w:sz w:val="18"/>
          <w:szCs w:val="18"/>
          <w:lang w:val="en-US" w:eastAsia="zh-CN" w:bidi="ar"/>
        </w:rPr>
        <w:t>）放置10min，待结晶重新溶解后混匀使用；</w:t>
      </w:r>
    </w:p>
    <w:p w14:paraId="46206C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肽段脱盐过程离心速度不要超过推荐的离心速度（最大离心速度不要超过1000g），因为这可能会损坏柱子填料导致样品丢失和/或损坏仪器；</w:t>
      </w:r>
    </w:p>
    <w:p w14:paraId="3C67B07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使用低吸附离心管，最大限度的提高样本回收率；</w:t>
      </w:r>
    </w:p>
    <w:p w14:paraId="73E77CB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酶解结束后加入试剂</w:t>
      </w:r>
      <w:r>
        <w:rPr>
          <w:rFonts w:hint="eastAsia" w:ascii="Times New Roman" w:hAnsi="Times New Roman" w:eastAsia="微软雅黑" w:cs="Times New Roman"/>
          <w:color w:val="000000"/>
          <w:kern w:val="0"/>
          <w:sz w:val="18"/>
          <w:szCs w:val="18"/>
          <w:lang w:val="en-US" w:eastAsia="zh-CN" w:bidi="ar"/>
        </w:rPr>
        <w:t>C可能有</w:t>
      </w:r>
      <w:r>
        <w:rPr>
          <w:rFonts w:ascii="Times New Roman" w:hAnsi="Times New Roman" w:eastAsia="微软雅黑" w:cs="Times New Roman"/>
          <w:color w:val="000000"/>
          <w:kern w:val="0"/>
          <w:sz w:val="18"/>
          <w:szCs w:val="18"/>
          <w:lang w:bidi="ar"/>
        </w:rPr>
        <w:t>沉淀出现，</w:t>
      </w:r>
      <w:r>
        <w:rPr>
          <w:rFonts w:hint="eastAsia" w:ascii="Times New Roman" w:hAnsi="Times New Roman" w:eastAsia="微软雅黑" w:cs="Times New Roman"/>
          <w:color w:val="000000"/>
          <w:kern w:val="0"/>
          <w:sz w:val="18"/>
          <w:szCs w:val="18"/>
          <w:lang w:val="en-US" w:eastAsia="zh-CN" w:bidi="ar"/>
        </w:rPr>
        <w:t>可</w:t>
      </w:r>
      <w:r>
        <w:rPr>
          <w:rFonts w:ascii="Times New Roman" w:hAnsi="Times New Roman" w:eastAsia="微软雅黑" w:cs="Times New Roman"/>
          <w:color w:val="000000"/>
          <w:kern w:val="0"/>
          <w:sz w:val="18"/>
          <w:szCs w:val="18"/>
          <w:lang w:bidi="ar"/>
        </w:rPr>
        <w:t>高速离心后</w:t>
      </w:r>
      <w:r>
        <w:rPr>
          <w:rFonts w:hint="eastAsia" w:ascii="Times New Roman" w:hAnsi="Times New Roman" w:eastAsia="微软雅黑" w:cs="Times New Roman"/>
          <w:color w:val="000000"/>
          <w:kern w:val="0"/>
          <w:sz w:val="18"/>
          <w:szCs w:val="18"/>
          <w:lang w:val="en-US" w:eastAsia="zh-CN" w:bidi="ar"/>
        </w:rPr>
        <w:t>再</w:t>
      </w:r>
      <w:r>
        <w:rPr>
          <w:rFonts w:ascii="Times New Roman" w:hAnsi="Times New Roman" w:eastAsia="微软雅黑" w:cs="Times New Roman"/>
          <w:color w:val="000000"/>
          <w:kern w:val="0"/>
          <w:sz w:val="18"/>
          <w:szCs w:val="18"/>
          <w:lang w:bidi="ar"/>
        </w:rPr>
        <w:t>进行后续实验</w:t>
      </w:r>
      <w:r>
        <w:rPr>
          <w:rFonts w:hint="eastAsia" w:ascii="Times New Roman" w:hAnsi="Times New Roman" w:eastAsia="微软雅黑" w:cs="Times New Roman"/>
          <w:color w:val="000000"/>
          <w:kern w:val="0"/>
          <w:sz w:val="18"/>
          <w:szCs w:val="18"/>
          <w:lang w:val="en-US" w:eastAsia="zh-CN" w:bidi="ar"/>
        </w:rPr>
        <w:t>操作</w:t>
      </w:r>
      <w:r>
        <w:rPr>
          <w:rFonts w:ascii="Times New Roman" w:hAnsi="Times New Roman" w:eastAsia="微软雅黑" w:cs="Times New Roman"/>
          <w:color w:val="000000"/>
          <w:kern w:val="0"/>
          <w:sz w:val="18"/>
          <w:szCs w:val="18"/>
          <w:lang w:bidi="ar"/>
        </w:rPr>
        <w:t>；</w:t>
      </w:r>
    </w:p>
    <w:p w14:paraId="503BCC1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样本比较难消化酶解时可适当加长酶解时间；</w:t>
      </w:r>
    </w:p>
    <w:p w14:paraId="274A9E7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ascii="Times New Roman" w:hAnsi="Times New Roman" w:eastAsia="微软雅黑" w:cs="Times New Roman"/>
          <w:color w:val="000000"/>
          <w:kern w:val="0"/>
          <w:sz w:val="18"/>
          <w:szCs w:val="18"/>
          <w:lang w:bidi="ar"/>
        </w:rPr>
      </w:pPr>
      <w:r>
        <w:rPr>
          <w:rFonts w:ascii="Times New Roman" w:hAnsi="Times New Roman" w:eastAsia="微软雅黑" w:cs="Times New Roman"/>
          <w:color w:val="000000"/>
          <w:kern w:val="0"/>
          <w:sz w:val="18"/>
          <w:szCs w:val="18"/>
          <w:lang w:bidi="ar"/>
        </w:rPr>
        <w:t>酶解后样本如</w:t>
      </w:r>
      <w:r>
        <w:rPr>
          <w:rFonts w:hint="eastAsia" w:ascii="Times New Roman" w:hAnsi="Times New Roman" w:eastAsia="微软雅黑" w:cs="Times New Roman"/>
          <w:color w:val="000000"/>
          <w:kern w:val="0"/>
          <w:sz w:val="18"/>
          <w:szCs w:val="18"/>
          <w:lang w:bidi="ar"/>
        </w:rPr>
        <w:t>不能及时进行</w:t>
      </w:r>
      <w:r>
        <w:rPr>
          <w:rFonts w:ascii="Times New Roman" w:hAnsi="Times New Roman" w:eastAsia="微软雅黑" w:cs="Times New Roman"/>
          <w:color w:val="000000"/>
          <w:kern w:val="0"/>
          <w:sz w:val="18"/>
          <w:szCs w:val="18"/>
          <w:lang w:bidi="ar"/>
        </w:rPr>
        <w:t>后续脱盐处理，可-80℃存放2周；</w:t>
      </w:r>
    </w:p>
    <w:p w14:paraId="192A1DB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hanging="420"/>
        <w:jc w:val="left"/>
        <w:textAlignment w:val="auto"/>
        <w:rPr>
          <w:rFonts w:hint="default"/>
          <w:sz w:val="18"/>
          <w:szCs w:val="18"/>
          <w:lang w:val="en-US" w:eastAsia="zh-CN"/>
        </w:rPr>
      </w:pPr>
      <w:r>
        <w:rPr>
          <w:rFonts w:ascii="Times New Roman" w:hAnsi="Times New Roman" w:eastAsia="微软雅黑" w:cs="Times New Roman"/>
          <w:color w:val="000000"/>
          <w:kern w:val="0"/>
          <w:sz w:val="18"/>
          <w:szCs w:val="18"/>
          <w:lang w:bidi="ar"/>
        </w:rPr>
        <w:t>避免样品污染及皮肤直接接触试剂，实验时戴好手套、口罩。</w:t>
      </w:r>
    </w:p>
    <w:tbl>
      <w:tblPr>
        <w:tblStyle w:val="6"/>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984"/>
        <w:gridCol w:w="2415"/>
      </w:tblGrid>
      <w:tr w14:paraId="3A9DC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28" w:hRule="atLeast"/>
        </w:trPr>
        <w:tc>
          <w:tcPr>
            <w:tcW w:w="5984" w:type="dxa"/>
            <w:noWrap w:val="0"/>
            <w:vAlign w:val="top"/>
          </w:tcPr>
          <w:p w14:paraId="2249423C">
            <w:pPr>
              <w:keepNext w:val="0"/>
              <w:keepLines w:val="0"/>
              <w:pageBreakBefore w:val="0"/>
              <w:widowControl/>
              <w:numPr>
                <w:ilvl w:val="0"/>
                <w:numId w:val="0"/>
              </w:numPr>
              <w:kinsoku/>
              <w:wordWrap/>
              <w:overflowPunct/>
              <w:topLinePunct w:val="0"/>
              <w:autoSpaceDE/>
              <w:autoSpaceDN/>
              <w:bidi w:val="0"/>
              <w:adjustRightInd/>
              <w:snapToGrid/>
              <w:spacing w:line="360" w:lineRule="auto"/>
              <w:jc w:val="right"/>
              <w:textAlignment w:val="auto"/>
              <w:rPr>
                <w:rFonts w:hint="default"/>
                <w:sz w:val="18"/>
                <w:szCs w:val="18"/>
                <w:vertAlign w:val="baseline"/>
                <w:lang w:val="en-US" w:eastAsia="zh-CN"/>
              </w:rPr>
            </w:pPr>
            <w:r>
              <w:rPr>
                <w:rFonts w:hint="default"/>
                <w:sz w:val="18"/>
                <w:szCs w:val="18"/>
                <w:vertAlign w:val="baseline"/>
                <w:lang w:val="en-US" w:eastAsia="zh-CN"/>
              </w:rPr>
              <w:drawing>
                <wp:inline distT="0" distB="0" distL="114300" distR="114300">
                  <wp:extent cx="666115" cy="666115"/>
                  <wp:effectExtent l="0" t="0" r="635" b="635"/>
                  <wp:docPr id="7" name="图片 2" descr="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2" descr="code"/>
                          <pic:cNvPicPr>
                            <a:picLocks noChangeAspect="1"/>
                          </pic:cNvPicPr>
                        </pic:nvPicPr>
                        <pic:blipFill>
                          <a:blip r:embed="rId12"/>
                          <a:stretch>
                            <a:fillRect/>
                          </a:stretch>
                        </pic:blipFill>
                        <pic:spPr>
                          <a:xfrm>
                            <a:off x="0" y="0"/>
                            <a:ext cx="666115" cy="666115"/>
                          </a:xfrm>
                          <a:prstGeom prst="rect">
                            <a:avLst/>
                          </a:prstGeom>
                          <a:noFill/>
                          <a:ln>
                            <a:noFill/>
                          </a:ln>
                        </pic:spPr>
                      </pic:pic>
                    </a:graphicData>
                  </a:graphic>
                </wp:inline>
              </w:drawing>
            </w:r>
          </w:p>
        </w:tc>
        <w:tc>
          <w:tcPr>
            <w:tcW w:w="2415" w:type="dxa"/>
            <w:noWrap w:val="0"/>
            <w:vAlign w:val="center"/>
          </w:tcPr>
          <w:p w14:paraId="39BF6C23">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官方网站：</w:t>
            </w:r>
            <w:r>
              <w:rPr>
                <w:rStyle w:val="8"/>
                <w:rFonts w:hint="default" w:ascii="Times New Roman" w:hAnsi="Times New Roman" w:eastAsia="微软雅黑" w:cs="Times New Roman"/>
                <w:kern w:val="0"/>
                <w:sz w:val="15"/>
                <w:szCs w:val="15"/>
                <w:lang w:val="en-US" w:eastAsia="zh-CN" w:bidi="ar"/>
              </w:rPr>
              <w:t>www.omicsolution.com</w:t>
            </w:r>
          </w:p>
          <w:p w14:paraId="4608D50B">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240" w:lineRule="auto"/>
              <w:ind w:left="0" w:right="0"/>
              <w:jc w:val="left"/>
              <w:rPr>
                <w:rFonts w:hint="default" w:ascii="Times New Roman" w:hAnsi="Times New Roman" w:eastAsia="微软雅黑" w:cs="Times New Roman"/>
                <w:sz w:val="15"/>
                <w:szCs w:val="15"/>
              </w:rPr>
            </w:pPr>
            <w:r>
              <w:rPr>
                <w:rFonts w:hint="default" w:ascii="Times New Roman" w:hAnsi="Times New Roman" w:eastAsia="微软雅黑" w:cs="Times New Roman"/>
                <w:color w:val="415163"/>
                <w:sz w:val="15"/>
                <w:szCs w:val="15"/>
              </w:rPr>
              <w:t>若有任何疑问，欢迎</w:t>
            </w:r>
            <w:r>
              <w:rPr>
                <w:rFonts w:hint="eastAsia" w:ascii="Times New Roman" w:hAnsi="Times New Roman" w:eastAsia="微软雅黑" w:cs="Times New Roman"/>
                <w:color w:val="415163"/>
                <w:sz w:val="15"/>
                <w:szCs w:val="15"/>
                <w:lang w:val="en-US" w:eastAsia="zh-CN"/>
              </w:rPr>
              <w:t>发送</w:t>
            </w:r>
            <w:r>
              <w:rPr>
                <w:rFonts w:hint="default" w:ascii="Times New Roman" w:hAnsi="Times New Roman" w:eastAsia="微软雅黑" w:cs="Times New Roman"/>
                <w:color w:val="415163"/>
                <w:sz w:val="15"/>
                <w:szCs w:val="15"/>
              </w:rPr>
              <w:t>邮件</w:t>
            </w:r>
            <w:r>
              <w:rPr>
                <w:rFonts w:hint="eastAsia" w:ascii="Times New Roman" w:hAnsi="Times New Roman" w:eastAsia="微软雅黑" w:cs="Times New Roman"/>
                <w:color w:val="415163"/>
                <w:sz w:val="15"/>
                <w:szCs w:val="15"/>
                <w:lang w:val="en-US" w:eastAsia="zh-CN"/>
              </w:rPr>
              <w:t>至</w:t>
            </w:r>
            <w:r>
              <w:rPr>
                <w:rFonts w:hint="default" w:ascii="Times New Roman" w:hAnsi="Times New Roman" w:eastAsia="微软雅黑" w:cs="Times New Roman"/>
                <w:color w:val="415163"/>
                <w:sz w:val="15"/>
                <w:szCs w:val="15"/>
              </w:rPr>
              <w:t>：</w:t>
            </w:r>
          </w:p>
          <w:p w14:paraId="09DD7BF9">
            <w:pPr>
              <w:keepNext w:val="0"/>
              <w:keepLines w:val="0"/>
              <w:widowControl/>
              <w:suppressLineNumbers w:val="0"/>
              <w:spacing w:line="240" w:lineRule="auto"/>
              <w:jc w:val="left"/>
              <w:rPr>
                <w:rFonts w:hint="default" w:ascii="Times New Roman" w:hAnsi="Times New Roman" w:eastAsia="微软雅黑" w:cs="Times New Roman"/>
                <w:sz w:val="15"/>
                <w:szCs w:val="15"/>
                <w:vertAlign w:val="baseline"/>
                <w:lang w:val="en-US" w:eastAsia="zh-CN"/>
              </w:rPr>
            </w:pPr>
            <w:r>
              <w:rPr>
                <w:rStyle w:val="8"/>
                <w:rFonts w:hint="default" w:ascii="Times New Roman" w:hAnsi="Times New Roman" w:eastAsia="微软雅黑" w:cs="Times New Roman"/>
                <w:kern w:val="0"/>
                <w:sz w:val="15"/>
                <w:szCs w:val="15"/>
                <w:lang w:val="en-US" w:eastAsia="zh-CN" w:bidi="ar"/>
              </w:rPr>
              <w:t>support@omicsolution.com</w:t>
            </w:r>
          </w:p>
        </w:tc>
      </w:tr>
    </w:tbl>
    <w:p w14:paraId="6C4A778C">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0"/>
        <w:jc w:val="left"/>
        <w:textAlignment w:val="auto"/>
        <w:rPr>
          <w:rFonts w:hint="default"/>
          <w:sz w:val="18"/>
          <w:szCs w:val="18"/>
          <w:lang w:val="en-US" w:eastAsia="zh-CN"/>
        </w:rPr>
      </w:pPr>
    </w:p>
    <w:sectPr>
      <w:headerReference r:id="rId3" w:type="default"/>
      <w:footerReference r:id="rId4" w:type="default"/>
      <w:pgSz w:w="11906" w:h="16838"/>
      <w:pgMar w:top="1327" w:right="1689" w:bottom="1157" w:left="1689" w:header="851" w:footer="907"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E8DD0">
    <w:pPr>
      <w:pStyle w:val="2"/>
      <w:rPr>
        <w:rFonts w:hint="eastAsia"/>
        <w:lang w:eastAsia="zh-CN"/>
      </w:rPr>
    </w:pPr>
    <w:r>
      <w:rPr>
        <w:rFonts w:hint="eastAsia" w:ascii="微软雅黑" w:hAnsi="微软雅黑" w:eastAsia="微软雅黑" w:cs="微软雅黑"/>
        <w:sz w:val="24"/>
        <w:szCs w:val="24"/>
      </w:rPr>
      <w:drawing>
        <wp:anchor distT="0" distB="0" distL="114300" distR="114300" simplePos="0" relativeHeight="251660288" behindDoc="1" locked="0" layoutInCell="1" allowOverlap="1">
          <wp:simplePos x="0" y="0"/>
          <wp:positionH relativeFrom="page">
            <wp:posOffset>0</wp:posOffset>
          </wp:positionH>
          <wp:positionV relativeFrom="page">
            <wp:posOffset>9490075</wp:posOffset>
          </wp:positionV>
          <wp:extent cx="7558405" cy="1200150"/>
          <wp:effectExtent l="0" t="0" r="4445" b="0"/>
          <wp:wrapNone/>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
                  <a:stretch>
                    <a:fillRect/>
                  </a:stretch>
                </pic:blipFill>
                <pic:spPr>
                  <a:xfrm flipH="1" flipV="1">
                    <a:off x="0" y="0"/>
                    <a:ext cx="7558405" cy="1200150"/>
                  </a:xfrm>
                  <a:prstGeom prst="rect">
                    <a:avLst/>
                  </a:prstGeom>
                  <a:noFill/>
                  <a:ln>
                    <a:noFill/>
                  </a:ln>
                </pic:spPr>
              </pic:pic>
            </a:graphicData>
          </a:graphic>
        </wp:anchor>
      </w:drawing>
    </w:r>
    <w:r>
      <w:rPr>
        <w:rFonts w:hint="eastAsia" w:ascii="微软雅黑" w:hAnsi="微软雅黑" w:eastAsia="微软雅黑" w:cs="微软雅黑"/>
        <w:sz w:val="24"/>
        <w:szCs w:val="24"/>
      </w:rPr>
      <mc:AlternateContent>
        <mc:Choice Requires="wps">
          <w:drawing>
            <wp:anchor distT="0" distB="0" distL="114300" distR="114300" simplePos="0" relativeHeight="251662336" behindDoc="0" locked="0" layoutInCell="1" allowOverlap="1">
              <wp:simplePos x="0" y="0"/>
              <wp:positionH relativeFrom="margin">
                <wp:posOffset>2595245</wp:posOffset>
              </wp:positionH>
              <wp:positionV relativeFrom="paragraph">
                <wp:posOffset>99060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F8564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left:204.35pt;margin-top:7.8pt;height:144pt;width:144pt;mso-position-horizontal-relative:margin;mso-wrap-style:none;z-index:251662336;mso-width-relative:page;mso-height-relative:page;" filled="f" stroked="f" coordsize="21600,21600" o:gfxdata="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BBoPKC1wAAAAoBAAAPAAAAAAAAAAEAIAAAACIAAABkcnMvZG93bnJl&#10;di54bWxQSwECFAAUAAAACACHTuJAe3NDNTcCAABxBAAADgAAAAAAAAABACAAAAAmAQAAZHJzL2Uy&#10;b0RvYy54bWxQSwUGAAAAAAYABgBZAQAAzwUAAAAA&#10;">
              <v:fill on="f" focussize="0,0"/>
              <v:stroke on="f" weight="0.5pt"/>
              <v:imagedata o:title=""/>
              <o:lock v:ext="edit" aspectratio="f"/>
              <v:textbox inset="0mm,0mm,0mm,0mm" style="mso-fit-shape-to-text:t;">
                <w:txbxContent>
                  <w:p w14:paraId="0EF8564D">
                    <w:pPr>
                      <w:pStyle w:val="2"/>
                      <w:rPr>
                        <w:sz w:val="24"/>
                        <w:szCs w:val="24"/>
                      </w:rPr>
                    </w:pP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532CCD">
    <w:pPr>
      <w:pStyle w:val="3"/>
    </w:pPr>
    <w:r>
      <w:drawing>
        <wp:anchor distT="0" distB="0" distL="114300" distR="114300" simplePos="0" relativeHeight="251659264" behindDoc="1" locked="0" layoutInCell="1" allowOverlap="1">
          <wp:simplePos x="0" y="0"/>
          <wp:positionH relativeFrom="page">
            <wp:posOffset>-1270</wp:posOffset>
          </wp:positionH>
          <wp:positionV relativeFrom="page">
            <wp:posOffset>-6350</wp:posOffset>
          </wp:positionV>
          <wp:extent cx="7582535" cy="1357630"/>
          <wp:effectExtent l="0" t="0" r="18415" b="13970"/>
          <wp:wrapNone/>
          <wp:docPr id="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
                  <pic:cNvPicPr>
                    <a:picLocks noChangeAspect="1"/>
                  </pic:cNvPicPr>
                </pic:nvPicPr>
                <pic:blipFill>
                  <a:blip r:embed="rId1"/>
                  <a:stretch>
                    <a:fillRect/>
                  </a:stretch>
                </pic:blipFill>
                <pic:spPr>
                  <a:xfrm>
                    <a:off x="0" y="0"/>
                    <a:ext cx="7582535" cy="1357630"/>
                  </a:xfrm>
                  <a:prstGeom prst="rect">
                    <a:avLst/>
                  </a:prstGeom>
                  <a:noFill/>
                  <a:ln>
                    <a:noFill/>
                  </a:ln>
                </pic:spPr>
              </pic:pic>
            </a:graphicData>
          </a:graphic>
        </wp:anchor>
      </w:drawing>
    </w:r>
    <w:r>
      <w:rPr>
        <w:sz w:val="18"/>
      </w:rPr>
      <w:drawing>
        <wp:anchor distT="0" distB="0" distL="114300" distR="114300" simplePos="0" relativeHeight="251661312" behindDoc="1" locked="0" layoutInCell="1" allowOverlap="1">
          <wp:simplePos x="0" y="0"/>
          <wp:positionH relativeFrom="margin">
            <wp:align>center</wp:align>
          </wp:positionH>
          <wp:positionV relativeFrom="margin">
            <wp:align>center</wp:align>
          </wp:positionV>
          <wp:extent cx="5274310" cy="911860"/>
          <wp:effectExtent l="1503045" t="0" r="1547495" b="0"/>
          <wp:wrapNone/>
          <wp:docPr id="10" name="WordPictureWatermark3966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ordPictureWatermark39663" descr="logo"/>
                  <pic:cNvPicPr>
                    <a:picLocks noChangeAspect="1"/>
                  </pic:cNvPicPr>
                </pic:nvPicPr>
                <pic:blipFill>
                  <a:blip r:embed="rId2">
                    <a:lum bright="69998" contrast="-70001"/>
                  </a:blip>
                  <a:stretch>
                    <a:fillRect/>
                  </a:stretch>
                </pic:blipFill>
                <pic:spPr>
                  <a:xfrm rot="-2700000">
                    <a:off x="0" y="0"/>
                    <a:ext cx="5274310" cy="91186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42A7489"/>
    <w:multiLevelType w:val="singleLevel"/>
    <w:tmpl w:val="842A7489"/>
    <w:lvl w:ilvl="0" w:tentative="0">
      <w:start w:val="1"/>
      <w:numFmt w:val="lowerLetter"/>
      <w:lvlText w:val="%1."/>
      <w:lvlJc w:val="left"/>
      <w:pPr>
        <w:ind w:left="425" w:hanging="425"/>
      </w:pPr>
      <w:rPr>
        <w:rFonts w:hint="default"/>
      </w:rPr>
    </w:lvl>
  </w:abstractNum>
  <w:abstractNum w:abstractNumId="1">
    <w:nsid w:val="970C61D9"/>
    <w:multiLevelType w:val="singleLevel"/>
    <w:tmpl w:val="970C61D9"/>
    <w:lvl w:ilvl="0" w:tentative="0">
      <w:start w:val="1"/>
      <w:numFmt w:val="bullet"/>
      <w:lvlText w:val=""/>
      <w:lvlJc w:val="left"/>
      <w:pPr>
        <w:ind w:left="420" w:hanging="420"/>
      </w:pPr>
      <w:rPr>
        <w:rFonts w:hint="default" w:ascii="Wingdings" w:hAnsi="Wingdings"/>
      </w:rPr>
    </w:lvl>
  </w:abstractNum>
  <w:abstractNum w:abstractNumId="2">
    <w:nsid w:val="D0856594"/>
    <w:multiLevelType w:val="singleLevel"/>
    <w:tmpl w:val="D0856594"/>
    <w:lvl w:ilvl="0" w:tentative="0">
      <w:start w:val="1"/>
      <w:numFmt w:val="lowerLetter"/>
      <w:lvlText w:val="%1."/>
      <w:lvlJc w:val="left"/>
      <w:pPr>
        <w:ind w:left="425" w:hanging="425"/>
      </w:pPr>
      <w:rPr>
        <w:rFonts w:hint="default"/>
      </w:rPr>
    </w:lvl>
  </w:abstractNum>
  <w:abstractNum w:abstractNumId="3">
    <w:nsid w:val="2E42135B"/>
    <w:multiLevelType w:val="singleLevel"/>
    <w:tmpl w:val="2E42135B"/>
    <w:lvl w:ilvl="0" w:tentative="0">
      <w:start w:val="1"/>
      <w:numFmt w:val="lowerLetter"/>
      <w:suff w:val="space"/>
      <w:lvlText w:val="%1."/>
      <w:lvlJc w:val="left"/>
    </w:lvl>
  </w:abstractNum>
  <w:abstractNum w:abstractNumId="4">
    <w:nsid w:val="4EB15633"/>
    <w:multiLevelType w:val="singleLevel"/>
    <w:tmpl w:val="4EB15633"/>
    <w:lvl w:ilvl="0" w:tentative="0">
      <w:start w:val="1"/>
      <w:numFmt w:val="decimal"/>
      <w:suff w:val="space"/>
      <w:lvlText w:val="%1."/>
      <w:lvlJc w:val="left"/>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E4YWE2NWM2NjkyMzUxOGRkNDNkNjJlMmYxYjJlZDkifQ=="/>
  </w:docVars>
  <w:rsids>
    <w:rsidRoot w:val="00000000"/>
    <w:rsid w:val="095D54DC"/>
    <w:rsid w:val="10664298"/>
    <w:rsid w:val="11AC53EA"/>
    <w:rsid w:val="13443891"/>
    <w:rsid w:val="13AC0DFB"/>
    <w:rsid w:val="143A51ED"/>
    <w:rsid w:val="15B27269"/>
    <w:rsid w:val="16221FCC"/>
    <w:rsid w:val="1BAF4D2D"/>
    <w:rsid w:val="1D2737FF"/>
    <w:rsid w:val="1EFC5E1C"/>
    <w:rsid w:val="239D478B"/>
    <w:rsid w:val="28262DB5"/>
    <w:rsid w:val="2B732A57"/>
    <w:rsid w:val="2FFA371C"/>
    <w:rsid w:val="306744D1"/>
    <w:rsid w:val="316B70CB"/>
    <w:rsid w:val="344F3FA7"/>
    <w:rsid w:val="3BA945C4"/>
    <w:rsid w:val="3BF768D8"/>
    <w:rsid w:val="3D2C6E4B"/>
    <w:rsid w:val="3F8F6DDC"/>
    <w:rsid w:val="41412BA9"/>
    <w:rsid w:val="42F655C2"/>
    <w:rsid w:val="43357339"/>
    <w:rsid w:val="450B4C93"/>
    <w:rsid w:val="484F66F6"/>
    <w:rsid w:val="4C650094"/>
    <w:rsid w:val="4C886703"/>
    <w:rsid w:val="4D3A5FEE"/>
    <w:rsid w:val="517D186C"/>
    <w:rsid w:val="52A5300F"/>
    <w:rsid w:val="544B79B6"/>
    <w:rsid w:val="5AFD10E3"/>
    <w:rsid w:val="5B5E4F42"/>
    <w:rsid w:val="60546E99"/>
    <w:rsid w:val="60A74B67"/>
    <w:rsid w:val="61F12878"/>
    <w:rsid w:val="63F70CE7"/>
    <w:rsid w:val="66247695"/>
    <w:rsid w:val="695641F7"/>
    <w:rsid w:val="6CD80C14"/>
    <w:rsid w:val="6EC77429"/>
    <w:rsid w:val="6FEC0000"/>
    <w:rsid w:val="72C37EDB"/>
    <w:rsid w:val="75606687"/>
    <w:rsid w:val="75A25E74"/>
    <w:rsid w:val="75BE509E"/>
    <w:rsid w:val="7606263B"/>
    <w:rsid w:val="76D35D69"/>
    <w:rsid w:val="778A2A0B"/>
    <w:rsid w:val="78273EF1"/>
    <w:rsid w:val="796065CD"/>
    <w:rsid w:val="79F56B38"/>
    <w:rsid w:val="7AF516A8"/>
    <w:rsid w:val="7D1909ED"/>
    <w:rsid w:val="7FA4730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qFormat/>
    <w:uiPriority w:val="0"/>
  </w:style>
  <w:style w:type="table" w:default="1" w:styleId="5">
    <w:name w:val="Normal Table"/>
    <w:semiHidden/>
    <w:uiPriority w:val="0"/>
    <w:tblPr>
      <w:tblStyle w:val="5"/>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4">
    <w:name w:val="Normal (Web)"/>
    <w:basedOn w:val="1"/>
    <w:uiPriority w:val="0"/>
    <w:pPr>
      <w:spacing w:before="100" w:beforeAutospacing="1" w:after="100" w:afterAutospacing="1"/>
      <w:ind w:left="0" w:right="0"/>
      <w:jc w:val="left"/>
    </w:pPr>
    <w:rPr>
      <w:kern w:val="0"/>
      <w:sz w:val="24"/>
      <w:lang w:val="en-US" w:eastAsia="zh-CN" w:bidi="ar"/>
    </w:rPr>
  </w:style>
  <w:style w:type="table" w:styleId="6">
    <w:name w:val="Table Grid"/>
    <w:basedOn w:val="5"/>
    <w:qFormat/>
    <w:uiPriority w:val="0"/>
    <w:pPr>
      <w:widowControl w:val="0"/>
      <w:jc w:val="both"/>
    </w:pPr>
    <w:tblPr>
      <w:tblStyle w:val="5"/>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Hyperlink"/>
    <w:basedOn w:val="7"/>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7.png"/><Relationship Id="rId8" Type="http://schemas.openxmlformats.org/officeDocument/2006/relationships/image" Target="media/image6.png"/><Relationship Id="rId7" Type="http://schemas.openxmlformats.org/officeDocument/2006/relationships/image" Target="media/image5.png"/><Relationship Id="rId6" Type="http://schemas.openxmlformats.org/officeDocument/2006/relationships/image" Target="media/image4.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0.jpeg"/><Relationship Id="rId11" Type="http://schemas.openxmlformats.org/officeDocument/2006/relationships/image" Target="media/image9.png"/><Relationship Id="rId10" Type="http://schemas.openxmlformats.org/officeDocument/2006/relationships/image" Target="media/image8.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1586</Words>
  <Characters>1950</Characters>
  <Lines>0</Lines>
  <Paragraphs>0</Paragraphs>
  <TotalTime>0</TotalTime>
  <ScaleCrop>false</ScaleCrop>
  <LinksUpToDate>false</LinksUpToDate>
  <CharactersWithSpaces>1993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2022-03-28T04:49:00Z</dcterms:created>
  <dc:creator>omicsolution</dc:creator>
  <cp:lastModifiedBy>shygza</cp:lastModifiedBy>
  <cp:lastPrinted>2023-12-19T08:06:37Z</cp:lastPrinted>
  <dcterms:modified xsi:type="dcterms:W3CDTF">2026-06-11T06:42:05Z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F78F5B86705243FD9B5279075C450018_13</vt:lpwstr>
  </property>
  <property fmtid="{D5CDD505-2E9C-101B-9397-08002B2CF9AE}" pid="4" name="KSOTemplateDocerSaveRecord">
    <vt:lpwstr>eyJoZGlkIjoiNGE4MmJmZWM4N2NmNzM0ODc5NTJkMGZhNzZhNmI2ZDgiLCJ1c2VySWQiOiI2OTYyMTYzMjYifQ==</vt:lpwstr>
  </property>
</Properties>
</file>