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556B0">
      <w:pPr>
        <w:jc w:val="center"/>
        <w:rPr>
          <w:rFonts w:hint="default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易肽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EasyPept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vertAlign w:val="superscript"/>
          <w:lang w:val="en-US" w:eastAsia="zh-CN"/>
        </w:rPr>
        <w:t>TM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 xml:space="preserve"> PTM</w:t>
      </w:r>
    </w:p>
    <w:p w14:paraId="5649D75E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糖基化富集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试剂盒</w:t>
      </w:r>
    </w:p>
    <w:p w14:paraId="4B98DF25">
      <w:pPr>
        <w:jc w:val="center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货号：</w:t>
      </w:r>
      <w:r>
        <w:rPr>
          <w:rFonts w:hint="default" w:ascii="Times New Roman" w:hAnsi="Times New Roman" w:eastAsia="微软雅黑" w:cs="Times New Roman"/>
          <w:lang w:val="en-US" w:eastAsia="zh-CN"/>
        </w:rPr>
        <w:t>OSFP000</w:t>
      </w:r>
      <w:r>
        <w:rPr>
          <w:rFonts w:hint="eastAsia" w:ascii="Times New Roman" w:hAnsi="Times New Roman" w:eastAsia="微软雅黑" w:cs="Times New Roman"/>
          <w:lang w:val="en-US" w:eastAsia="zh-CN"/>
        </w:rPr>
        <w:t>7-200</w:t>
      </w:r>
      <w:r>
        <w:rPr>
          <w:rFonts w:hint="default" w:ascii="Times New Roman" w:hAnsi="Times New Roman" w:eastAsia="微软雅黑" w:cs="Times New Roman"/>
          <w:lang w:val="en-US" w:eastAsia="zh-CN"/>
        </w:rPr>
        <w:t>μg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 规格：</w:t>
      </w:r>
      <w:r>
        <w:rPr>
          <w:rFonts w:hint="eastAsia" w:ascii="Times New Roman" w:hAnsi="Times New Roman" w:eastAsia="微软雅黑" w:cs="Times New Roman"/>
          <w:lang w:val="en-US" w:eastAsia="zh-CN"/>
        </w:rPr>
        <w:t>48</w:t>
      </w:r>
      <w:r>
        <w:rPr>
          <w:rFonts w:hint="default" w:ascii="Times New Roman" w:hAnsi="Times New Roman" w:eastAsia="微软雅黑" w:cs="Times New Roman"/>
          <w:lang w:val="en-US" w:eastAsia="zh-CN"/>
        </w:rPr>
        <w:t>x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 版本号：V20260609</w:t>
      </w:r>
    </w:p>
    <w:p w14:paraId="47BC5CBB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试剂盒包含</w:t>
      </w:r>
    </w:p>
    <w:tbl>
      <w:tblPr>
        <w:tblStyle w:val="7"/>
        <w:tblpPr w:leftFromText="180" w:rightFromText="180" w:vertAnchor="text" w:horzAnchor="page" w:tblpX="1798" w:tblpY="579"/>
        <w:tblOverlap w:val="never"/>
        <w:tblW w:w="522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639"/>
        <w:gridCol w:w="5464"/>
        <w:gridCol w:w="1072"/>
      </w:tblGrid>
      <w:tr w14:paraId="64018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1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527D7F0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试剂名称</w:t>
            </w:r>
          </w:p>
        </w:tc>
        <w:tc>
          <w:tcPr>
            <w:tcW w:w="841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9A1A0A1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规格</w:t>
            </w:r>
          </w:p>
        </w:tc>
        <w:tc>
          <w:tcPr>
            <w:tcW w:w="2806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6F8AADC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简   介</w:t>
            </w:r>
          </w:p>
        </w:tc>
        <w:tc>
          <w:tcPr>
            <w:tcW w:w="550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B437ACB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储存条件</w:t>
            </w:r>
          </w:p>
        </w:tc>
      </w:tr>
      <w:tr w14:paraId="1ABE5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1" w:type="pct"/>
            <w:tcBorders>
              <w:top w:val="nil"/>
              <w:bottom w:val="nil"/>
            </w:tcBorders>
            <w:noWrap w:val="0"/>
            <w:vAlign w:val="center"/>
          </w:tcPr>
          <w:p w14:paraId="5FE94482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DF731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color w:val="FDF731"/>
                <w:sz w:val="21"/>
                <w:szCs w:val="21"/>
              </w:rPr>
              <w:t xml:space="preserve"> </w:t>
            </w:r>
          </w:p>
        </w:tc>
        <w:tc>
          <w:tcPr>
            <w:tcW w:w="841" w:type="pct"/>
            <w:tcBorders>
              <w:top w:val="nil"/>
              <w:bottom w:val="nil"/>
            </w:tcBorders>
            <w:noWrap w:val="0"/>
            <w:vAlign w:val="center"/>
          </w:tcPr>
          <w:p w14:paraId="334701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806" w:type="pct"/>
            <w:tcBorders>
              <w:top w:val="nil"/>
              <w:bottom w:val="nil"/>
            </w:tcBorders>
            <w:noWrap w:val="0"/>
            <w:vAlign w:val="center"/>
          </w:tcPr>
          <w:p w14:paraId="414C03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裂解液，用于蛋白裂解</w:t>
            </w:r>
          </w:p>
        </w:tc>
        <w:tc>
          <w:tcPr>
            <w:tcW w:w="550" w:type="pct"/>
            <w:tcBorders>
              <w:top w:val="nil"/>
              <w:bottom w:val="nil"/>
            </w:tcBorders>
            <w:noWrap w:val="0"/>
            <w:vAlign w:val="center"/>
          </w:tcPr>
          <w:p w14:paraId="1178AC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7BE91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1" w:type="pct"/>
            <w:tcBorders>
              <w:top w:val="nil"/>
              <w:bottom w:val="nil"/>
            </w:tcBorders>
            <w:noWrap w:val="0"/>
            <w:vAlign w:val="center"/>
          </w:tcPr>
          <w:p w14:paraId="419FA6DA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A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843C0B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41" w:type="pct"/>
            <w:tcBorders>
              <w:top w:val="nil"/>
              <w:bottom w:val="nil"/>
            </w:tcBorders>
            <w:noWrap w:val="0"/>
            <w:vAlign w:val="center"/>
          </w:tcPr>
          <w:p w14:paraId="718398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806" w:type="pct"/>
            <w:tcBorders>
              <w:top w:val="nil"/>
              <w:bottom w:val="nil"/>
            </w:tcBorders>
            <w:noWrap w:val="0"/>
            <w:vAlign w:val="center"/>
          </w:tcPr>
          <w:p w14:paraId="7F119C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还原烷基化及酶解体系，也可用于蛋白裂解</w:t>
            </w:r>
          </w:p>
        </w:tc>
        <w:tc>
          <w:tcPr>
            <w:tcW w:w="550" w:type="pct"/>
            <w:tcBorders>
              <w:top w:val="nil"/>
              <w:bottom w:val="nil"/>
            </w:tcBorders>
            <w:noWrap w:val="0"/>
            <w:vAlign w:val="center"/>
          </w:tcPr>
          <w:p w14:paraId="53D2B1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6CB5A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1" w:type="pct"/>
            <w:tcBorders>
              <w:top w:val="nil"/>
              <w:bottom w:val="nil"/>
            </w:tcBorders>
            <w:noWrap w:val="0"/>
            <w:vAlign w:val="center"/>
          </w:tcPr>
          <w:p w14:paraId="0502C05D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B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B0F0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41" w:type="pct"/>
            <w:tcBorders>
              <w:top w:val="nil"/>
              <w:bottom w:val="nil"/>
            </w:tcBorders>
            <w:noWrap w:val="0"/>
            <w:vAlign w:val="center"/>
          </w:tcPr>
          <w:p w14:paraId="173143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806" w:type="pct"/>
            <w:tcBorders>
              <w:top w:val="nil"/>
              <w:bottom w:val="nil"/>
            </w:tcBorders>
            <w:noWrap w:val="0"/>
            <w:vAlign w:val="center"/>
          </w:tcPr>
          <w:p w14:paraId="0C85F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还原烷基化，蛋白质还原烷基化</w:t>
            </w:r>
          </w:p>
        </w:tc>
        <w:tc>
          <w:tcPr>
            <w:tcW w:w="550" w:type="pct"/>
            <w:tcBorders>
              <w:top w:val="nil"/>
              <w:bottom w:val="nil"/>
            </w:tcBorders>
            <w:noWrap w:val="0"/>
            <w:vAlign w:val="center"/>
          </w:tcPr>
          <w:p w14:paraId="28B8F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24F15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01" w:type="pct"/>
            <w:tcBorders>
              <w:top w:val="nil"/>
              <w:bottom w:val="nil"/>
            </w:tcBorders>
            <w:noWrap w:val="0"/>
            <w:vAlign w:val="center"/>
          </w:tcPr>
          <w:p w14:paraId="61C8D476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◌</w:t>
            </w:r>
          </w:p>
        </w:tc>
        <w:tc>
          <w:tcPr>
            <w:tcW w:w="841" w:type="pct"/>
            <w:tcBorders>
              <w:top w:val="nil"/>
              <w:bottom w:val="nil"/>
            </w:tcBorders>
            <w:noWrap w:val="0"/>
            <w:vAlign w:val="center"/>
          </w:tcPr>
          <w:p w14:paraId="5E43B1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806" w:type="pct"/>
            <w:tcBorders>
              <w:top w:val="nil"/>
              <w:bottom w:val="nil"/>
            </w:tcBorders>
            <w:noWrap w:val="0"/>
            <w:vAlign w:val="center"/>
          </w:tcPr>
          <w:p w14:paraId="764A8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平衡液，调节酶解体系</w:t>
            </w:r>
          </w:p>
        </w:tc>
        <w:tc>
          <w:tcPr>
            <w:tcW w:w="550" w:type="pct"/>
            <w:tcBorders>
              <w:top w:val="nil"/>
              <w:bottom w:val="nil"/>
            </w:tcBorders>
            <w:noWrap w:val="0"/>
            <w:vAlign w:val="center"/>
          </w:tcPr>
          <w:p w14:paraId="555587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51C9A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1" w:type="pct"/>
            <w:tcBorders>
              <w:top w:val="nil"/>
              <w:bottom w:val="nil"/>
            </w:tcBorders>
            <w:noWrap w:val="0"/>
            <w:vAlign w:val="center"/>
          </w:tcPr>
          <w:p w14:paraId="07E17670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000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41" w:type="pct"/>
            <w:tcBorders>
              <w:top w:val="nil"/>
              <w:bottom w:val="nil"/>
            </w:tcBorders>
            <w:noWrap w:val="0"/>
            <w:vAlign w:val="center"/>
          </w:tcPr>
          <w:p w14:paraId="17823C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45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806" w:type="pct"/>
            <w:tcBorders>
              <w:top w:val="nil"/>
              <w:bottom w:val="nil"/>
            </w:tcBorders>
            <w:noWrap w:val="0"/>
            <w:vAlign w:val="center"/>
          </w:tcPr>
          <w:p w14:paraId="24EB4D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酶，蛋白酶解</w:t>
            </w:r>
          </w:p>
        </w:tc>
        <w:tc>
          <w:tcPr>
            <w:tcW w:w="550" w:type="pct"/>
            <w:tcBorders>
              <w:top w:val="nil"/>
              <w:bottom w:val="nil"/>
            </w:tcBorders>
            <w:noWrap w:val="0"/>
            <w:vAlign w:val="center"/>
          </w:tcPr>
          <w:p w14:paraId="4722A7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3D85D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1" w:type="pct"/>
            <w:tcBorders>
              <w:top w:val="nil"/>
              <w:bottom w:val="nil"/>
            </w:tcBorders>
            <w:noWrap w:val="0"/>
            <w:vAlign w:val="center"/>
          </w:tcPr>
          <w:p w14:paraId="7DADEE23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E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41" w:type="pct"/>
            <w:tcBorders>
              <w:top w:val="nil"/>
              <w:bottom w:val="nil"/>
            </w:tcBorders>
            <w:noWrap w:val="0"/>
            <w:vAlign w:val="center"/>
          </w:tcPr>
          <w:p w14:paraId="77A4D4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806" w:type="pct"/>
            <w:tcBorders>
              <w:top w:val="nil"/>
              <w:bottom w:val="nil"/>
            </w:tcBorders>
            <w:noWrap w:val="0"/>
            <w:vAlign w:val="center"/>
          </w:tcPr>
          <w:p w14:paraId="593561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终止试剂，终止酶解反应</w:t>
            </w:r>
          </w:p>
        </w:tc>
        <w:tc>
          <w:tcPr>
            <w:tcW w:w="550" w:type="pct"/>
            <w:tcBorders>
              <w:top w:val="nil"/>
              <w:bottom w:val="nil"/>
            </w:tcBorders>
            <w:noWrap w:val="0"/>
            <w:vAlign w:val="center"/>
          </w:tcPr>
          <w:p w14:paraId="54444A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75B58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1" w:type="pct"/>
            <w:tcBorders>
              <w:top w:val="nil"/>
              <w:bottom w:val="nil"/>
            </w:tcBorders>
            <w:noWrap w:val="0"/>
            <w:vAlign w:val="center"/>
          </w:tcPr>
          <w:p w14:paraId="680C1CBE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试剂H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C431CD"/>
                <w:sz w:val="21"/>
                <w:szCs w:val="21"/>
                <w:highlight w:val="none"/>
                <w:vertAlign w:val="baseline"/>
                <w:lang w:val="en-US" w:eastAsia="zh-CN"/>
              </w:rPr>
              <w:t>●</w:t>
            </w:r>
          </w:p>
        </w:tc>
        <w:tc>
          <w:tcPr>
            <w:tcW w:w="841" w:type="pct"/>
            <w:tcBorders>
              <w:top w:val="nil"/>
              <w:bottom w:val="nil"/>
            </w:tcBorders>
            <w:noWrap w:val="0"/>
            <w:vAlign w:val="center"/>
          </w:tcPr>
          <w:p w14:paraId="52B4E1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1.2ml*6</w:t>
            </w:r>
          </w:p>
        </w:tc>
        <w:tc>
          <w:tcPr>
            <w:tcW w:w="2806" w:type="pct"/>
            <w:tcBorders>
              <w:top w:val="nil"/>
              <w:bottom w:val="nil"/>
            </w:tcBorders>
            <w:noWrap w:val="0"/>
            <w:vAlign w:val="center"/>
          </w:tcPr>
          <w:p w14:paraId="055A83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除盐洗脱试剂</w:t>
            </w:r>
          </w:p>
        </w:tc>
        <w:tc>
          <w:tcPr>
            <w:tcW w:w="550" w:type="pct"/>
            <w:tcBorders>
              <w:top w:val="nil"/>
              <w:bottom w:val="nil"/>
            </w:tcBorders>
            <w:noWrap w:val="0"/>
            <w:vAlign w:val="center"/>
          </w:tcPr>
          <w:p w14:paraId="5C9953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3E2E4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1" w:type="pct"/>
            <w:tcBorders>
              <w:top w:val="nil"/>
              <w:bottom w:val="nil"/>
            </w:tcBorders>
            <w:noWrap w:val="0"/>
            <w:vAlign w:val="center"/>
          </w:tcPr>
          <w:p w14:paraId="7CD29246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B05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41" w:type="pct"/>
            <w:tcBorders>
              <w:top w:val="nil"/>
              <w:bottom w:val="nil"/>
            </w:tcBorders>
            <w:noWrap w:val="0"/>
            <w:vAlign w:val="center"/>
          </w:tcPr>
          <w:p w14:paraId="4671B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60ml*1</w:t>
            </w:r>
          </w:p>
        </w:tc>
        <w:tc>
          <w:tcPr>
            <w:tcW w:w="2806" w:type="pct"/>
            <w:tcBorders>
              <w:top w:val="nil"/>
              <w:bottom w:val="nil"/>
            </w:tcBorders>
            <w:noWrap w:val="0"/>
            <w:vAlign w:val="center"/>
          </w:tcPr>
          <w:p w14:paraId="529CEF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</w:t>
            </w:r>
          </w:p>
        </w:tc>
        <w:tc>
          <w:tcPr>
            <w:tcW w:w="550" w:type="pct"/>
            <w:tcBorders>
              <w:top w:val="nil"/>
              <w:bottom w:val="nil"/>
            </w:tcBorders>
            <w:noWrap w:val="0"/>
            <w:vAlign w:val="center"/>
          </w:tcPr>
          <w:p w14:paraId="1A288C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0365C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1" w:type="pct"/>
            <w:tcBorders>
              <w:top w:val="nil"/>
              <w:bottom w:val="nil"/>
            </w:tcBorders>
            <w:noWrap w:val="0"/>
            <w:vAlign w:val="center"/>
          </w:tcPr>
          <w:p w14:paraId="1C658A27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G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E46C0A" w:themeColor="accent6" w:themeShade="BF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41" w:type="pct"/>
            <w:tcBorders>
              <w:top w:val="nil"/>
              <w:bottom w:val="nil"/>
            </w:tcBorders>
            <w:noWrap w:val="0"/>
            <w:vAlign w:val="center"/>
          </w:tcPr>
          <w:p w14:paraId="15E3FD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7.5ml*1</w:t>
            </w:r>
          </w:p>
        </w:tc>
        <w:tc>
          <w:tcPr>
            <w:tcW w:w="2806" w:type="pct"/>
            <w:tcBorders>
              <w:top w:val="nil"/>
              <w:bottom w:val="nil"/>
            </w:tcBorders>
            <w:noWrap w:val="0"/>
            <w:vAlign w:val="center"/>
          </w:tcPr>
          <w:p w14:paraId="26BB2F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</w:t>
            </w:r>
          </w:p>
        </w:tc>
        <w:tc>
          <w:tcPr>
            <w:tcW w:w="550" w:type="pct"/>
            <w:tcBorders>
              <w:top w:val="nil"/>
              <w:bottom w:val="nil"/>
            </w:tcBorders>
            <w:noWrap w:val="0"/>
            <w:vAlign w:val="center"/>
          </w:tcPr>
          <w:p w14:paraId="32B427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55EE3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1" w:type="pct"/>
            <w:tcBorders>
              <w:top w:val="nil"/>
              <w:bottom w:val="nil"/>
            </w:tcBorders>
            <w:noWrap w:val="0"/>
            <w:vAlign w:val="center"/>
          </w:tcPr>
          <w:p w14:paraId="03DE0F38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试剂I</w:t>
            </w:r>
          </w:p>
        </w:tc>
        <w:tc>
          <w:tcPr>
            <w:tcW w:w="841" w:type="pct"/>
            <w:tcBorders>
              <w:top w:val="nil"/>
              <w:bottom w:val="nil"/>
            </w:tcBorders>
            <w:noWrap w:val="0"/>
            <w:vAlign w:val="center"/>
          </w:tcPr>
          <w:p w14:paraId="60A6BF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500u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*1</w:t>
            </w:r>
          </w:p>
        </w:tc>
        <w:tc>
          <w:tcPr>
            <w:tcW w:w="2806" w:type="pct"/>
            <w:tcBorders>
              <w:top w:val="nil"/>
              <w:bottom w:val="nil"/>
            </w:tcBorders>
            <w:noWrap w:val="0"/>
            <w:vAlign w:val="center"/>
          </w:tcPr>
          <w:p w14:paraId="737F5C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调整体系</w:t>
            </w:r>
          </w:p>
        </w:tc>
        <w:tc>
          <w:tcPr>
            <w:tcW w:w="550" w:type="pct"/>
            <w:tcBorders>
              <w:top w:val="nil"/>
              <w:bottom w:val="nil"/>
            </w:tcBorders>
            <w:noWrap w:val="0"/>
            <w:vAlign w:val="center"/>
          </w:tcPr>
          <w:p w14:paraId="7E1895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36B1A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01" w:type="pct"/>
            <w:tcBorders>
              <w:top w:val="nil"/>
              <w:bottom w:val="nil"/>
            </w:tcBorders>
            <w:noWrap w:val="0"/>
            <w:vAlign w:val="center"/>
          </w:tcPr>
          <w:p w14:paraId="7473A789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Cartridge</w:t>
            </w:r>
          </w:p>
        </w:tc>
        <w:tc>
          <w:tcPr>
            <w:tcW w:w="841" w:type="pct"/>
            <w:tcBorders>
              <w:top w:val="nil"/>
              <w:bottom w:val="nil"/>
            </w:tcBorders>
            <w:noWrap w:val="0"/>
            <w:vAlign w:val="center"/>
          </w:tcPr>
          <w:p w14:paraId="6B960D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2806" w:type="pct"/>
            <w:tcBorders>
              <w:top w:val="nil"/>
              <w:bottom w:val="nil"/>
            </w:tcBorders>
            <w:noWrap w:val="0"/>
            <w:vAlign w:val="center"/>
          </w:tcPr>
          <w:p w14:paraId="1BF84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肽段脱盐</w:t>
            </w:r>
          </w:p>
        </w:tc>
        <w:tc>
          <w:tcPr>
            <w:tcW w:w="550" w:type="pct"/>
            <w:tcBorders>
              <w:top w:val="nil"/>
              <w:bottom w:val="nil"/>
            </w:tcBorders>
            <w:noWrap w:val="0"/>
            <w:vAlign w:val="center"/>
          </w:tcPr>
          <w:p w14:paraId="73A5F3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767A5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1" w:type="pct"/>
            <w:tcBorders>
              <w:top w:val="nil"/>
              <w:bottom w:val="nil"/>
            </w:tcBorders>
            <w:noWrap w:val="0"/>
            <w:vAlign w:val="center"/>
          </w:tcPr>
          <w:p w14:paraId="04308D1F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EnrichmentTip</w:t>
            </w:r>
            <w:bookmarkEnd w:id="0"/>
          </w:p>
        </w:tc>
        <w:tc>
          <w:tcPr>
            <w:tcW w:w="841" w:type="pct"/>
            <w:tcBorders>
              <w:top w:val="nil"/>
              <w:bottom w:val="nil"/>
            </w:tcBorders>
            <w:noWrap w:val="0"/>
            <w:vAlign w:val="center"/>
          </w:tcPr>
          <w:p w14:paraId="331391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2806" w:type="pct"/>
            <w:tcBorders>
              <w:top w:val="nil"/>
              <w:bottom w:val="nil"/>
            </w:tcBorders>
            <w:noWrap w:val="0"/>
            <w:vAlign w:val="center"/>
          </w:tcPr>
          <w:p w14:paraId="608C31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肽段富集</w:t>
            </w:r>
          </w:p>
        </w:tc>
        <w:tc>
          <w:tcPr>
            <w:tcW w:w="550" w:type="pct"/>
            <w:tcBorders>
              <w:top w:val="nil"/>
              <w:bottom w:val="nil"/>
            </w:tcBorders>
            <w:noWrap w:val="0"/>
            <w:vAlign w:val="center"/>
          </w:tcPr>
          <w:p w14:paraId="701B6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常温避光</w:t>
            </w:r>
          </w:p>
        </w:tc>
      </w:tr>
      <w:tr w14:paraId="13845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1" w:type="pct"/>
            <w:tcBorders>
              <w:top w:val="nil"/>
              <w:bottom w:val="nil"/>
            </w:tcBorders>
            <w:noWrap w:val="0"/>
            <w:vAlign w:val="center"/>
          </w:tcPr>
          <w:p w14:paraId="6C12B70F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Adaptor</w:t>
            </w:r>
          </w:p>
        </w:tc>
        <w:tc>
          <w:tcPr>
            <w:tcW w:w="841" w:type="pct"/>
            <w:tcBorders>
              <w:top w:val="nil"/>
              <w:bottom w:val="nil"/>
            </w:tcBorders>
            <w:noWrap w:val="0"/>
            <w:vAlign w:val="center"/>
          </w:tcPr>
          <w:p w14:paraId="3F09083A">
            <w:pPr>
              <w:spacing w:line="36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2806" w:type="pct"/>
            <w:tcBorders>
              <w:top w:val="nil"/>
              <w:bottom w:val="nil"/>
            </w:tcBorders>
            <w:noWrap w:val="0"/>
            <w:vAlign w:val="center"/>
          </w:tcPr>
          <w:p w14:paraId="3677540A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Cartridge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、EnrichmentTip</w:t>
            </w: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适配器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（仅在首次购买试剂盒时附赠）</w:t>
            </w:r>
          </w:p>
        </w:tc>
        <w:tc>
          <w:tcPr>
            <w:tcW w:w="550" w:type="pct"/>
            <w:tcBorders>
              <w:top w:val="nil"/>
              <w:bottom w:val="nil"/>
            </w:tcBorders>
            <w:noWrap w:val="0"/>
            <w:vAlign w:val="center"/>
          </w:tcPr>
          <w:p w14:paraId="317AE199">
            <w:pPr>
              <w:spacing w:line="360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  <w:t>常温</w:t>
            </w:r>
          </w:p>
        </w:tc>
      </w:tr>
    </w:tbl>
    <w:p w14:paraId="2F82FB96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试剂盒简介</w:t>
      </w:r>
      <w:bookmarkStart w:id="2" w:name="_GoBack"/>
      <w:bookmarkEnd w:id="2"/>
    </w:p>
    <w:p w14:paraId="5E31AD06"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样品制备是蛋白质组学实验最重要的步骤之一，合适的前处理过程是实验成功的关键。尤其翻译后修饰组学，由于含量低、不稳定的特性，对样本的保存、制备条件要求更为严格。</w:t>
      </w:r>
    </w:p>
    <w:p w14:paraId="44786982">
      <w:pPr>
        <w:jc w:val="lef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易肽</w:t>
      </w:r>
      <w:r>
        <w:rPr>
          <w:rFonts w:hint="eastAsia" w:ascii="微软雅黑" w:hAnsi="微软雅黑" w:eastAsia="微软雅黑" w:cs="微软雅黑"/>
          <w:i/>
          <w:iCs/>
          <w:lang w:val="en-US" w:eastAsia="zh-CN"/>
        </w:rPr>
        <w:t>Glyc</w:t>
      </w:r>
      <w:r>
        <w:rPr>
          <w:rFonts w:hint="eastAsia" w:ascii="微软雅黑" w:hAnsi="微软雅黑" w:eastAsia="微软雅黑" w:cs="微软雅黑"/>
          <w:lang w:val="en-US" w:eastAsia="zh-CN"/>
        </w:rPr>
        <w:t>糖基化富集试剂盒旨在以较低的样本初始量、较少的样品制备步骤和较短的操作时间获得最佳的实验结果。适用于组织、细胞等样本类型，尤其对于大队列样本的制备过程充分体现出其高通量、高稳健性的优势。该试剂盒提供糖基化多肽制备包括蛋白变性、还原烷基化、蛋白酶解、肽段脱盐以及肽段富集过程的相关试剂。基于溶液内快速酶解的前处理方法，解决了传统方法样本用量多、试剂成本高、损失大、耗时长的弊端，仅需2-3小时即可完成肽段制备的步骤，且平行性好。基于离心式的肽段富集过程，操作简便，1h之内即可完成肽段富集，以实现微量糖基化肽段的快速制备及深度覆盖检测。</w:t>
      </w:r>
    </w:p>
    <w:p w14:paraId="29F00A85">
      <w:pPr>
        <w:jc w:val="left"/>
        <w:rPr>
          <w:rFonts w:hint="eastAsia" w:ascii="Times New Roman" w:hAnsi="Times New Roman" w:eastAsia="微软雅黑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微软雅黑" w:cs="Times New Roman"/>
          <w:sz w:val="18"/>
          <w:szCs w:val="18"/>
          <w:lang w:val="en-US" w:eastAsia="zh-CN"/>
        </w:rPr>
        <w:drawing>
          <wp:inline distT="0" distB="0" distL="114300" distR="114300">
            <wp:extent cx="5764530" cy="2421890"/>
            <wp:effectExtent l="0" t="0" r="7620" b="0"/>
            <wp:docPr id="1" name="图片 1" descr="OSFP0007-96不抽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SFP0007-96不抽干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453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D4687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需要准备的试剂耗材</w:t>
      </w:r>
    </w:p>
    <w:p w14:paraId="6144C66D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3.1 设备</w:t>
      </w:r>
    </w:p>
    <w:tbl>
      <w:tblPr>
        <w:tblStyle w:val="7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1413"/>
        <w:gridCol w:w="6060"/>
      </w:tblGrid>
      <w:tr w14:paraId="020B9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5CB1E969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设备名称</w:t>
            </w:r>
          </w:p>
        </w:tc>
        <w:tc>
          <w:tcPr>
            <w:tcW w:w="759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27B76173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56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22C2AD68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简    介</w:t>
            </w:r>
          </w:p>
        </w:tc>
      </w:tr>
      <w:tr w14:paraId="30155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2CE466CC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移液器</w:t>
            </w:r>
          </w:p>
        </w:tc>
        <w:tc>
          <w:tcPr>
            <w:tcW w:w="759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78BF1F0F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381000" cy="495300"/>
                  <wp:effectExtent l="0" t="0" r="0" b="7620"/>
                  <wp:docPr id="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2944C6C0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吸取蛋白提取过程中的蛋白上清，减少污染物，提高蛋白定量准确度</w:t>
            </w:r>
          </w:p>
        </w:tc>
      </w:tr>
      <w:tr w14:paraId="1D8E1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08DF3B85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恒温混匀仪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6DE71487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609600" cy="508000"/>
                  <wp:effectExtent l="0" t="0" r="0" b="10160"/>
                  <wp:docPr id="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21F12808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提供95℃及37℃的恒温条件，促进蛋白质的裂解与酶解</w:t>
            </w:r>
          </w:p>
        </w:tc>
      </w:tr>
      <w:tr w14:paraId="61990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21A8C559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高通量组织研磨仪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518DCE96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drawing>
                <wp:inline distT="0" distB="0" distL="114300" distR="114300">
                  <wp:extent cx="619760" cy="1102995"/>
                  <wp:effectExtent l="0" t="0" r="0" b="1905"/>
                  <wp:docPr id="160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5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 trans="30000" detail="2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8111" t="15067" r="30556" b="11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1102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321DBF58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不同组织样本的破碎，抽提蛋白质</w:t>
            </w:r>
          </w:p>
        </w:tc>
      </w:tr>
      <w:tr w14:paraId="36650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1F07705D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冷冻/常温离心机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3F2ECC3D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533400" cy="723900"/>
                  <wp:effectExtent l="0" t="0" r="0" b="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53BCE159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冷冻离心机用于蛋白提取，常温离心机用于肽段脱盐，适配器支持1.5/2ml离心管</w:t>
            </w:r>
          </w:p>
        </w:tc>
      </w:tr>
      <w:tr w14:paraId="1CE53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84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237497F3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t>真空离心浓缩仪</w:t>
            </w:r>
          </w:p>
        </w:tc>
        <w:tc>
          <w:tcPr>
            <w:tcW w:w="759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7C13861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drawing>
                <wp:inline distT="0" distB="0" distL="114300" distR="114300">
                  <wp:extent cx="759460" cy="937895"/>
                  <wp:effectExtent l="0" t="0" r="2540" b="6985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38A53B30">
            <w:pPr>
              <w:spacing w:line="240" w:lineRule="auto"/>
              <w:jc w:val="left"/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脱盐后的肽段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干燥</w:t>
            </w:r>
          </w:p>
        </w:tc>
      </w:tr>
    </w:tbl>
    <w:p w14:paraId="1A7CA026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3.2 试剂</w:t>
      </w:r>
    </w:p>
    <w:p w14:paraId="05A236AC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Trifluoroacetic acid (TFA)  </w:t>
      </w:r>
    </w:p>
    <w:p w14:paraId="5AD04527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Acetonitrile (ACN), LC-MS Grade </w:t>
      </w:r>
    </w:p>
    <w:p w14:paraId="76AE6BE9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Water, LC-MS Grade  </w:t>
      </w:r>
    </w:p>
    <w:p w14:paraId="590102C6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Methanol (MeOH), Optima™ LC-MS Grade </w:t>
      </w:r>
    </w:p>
    <w:p w14:paraId="7049E5D4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Low Protein Binding Microcentrifuge Tubes, 2.0 mL/1.5mL</w:t>
      </w:r>
    </w:p>
    <w:p w14:paraId="28BC3562">
      <w:pPr>
        <w:widowControl/>
        <w:spacing w:line="240" w:lineRule="auto"/>
        <w:jc w:val="left"/>
        <w:rPr>
          <w:rFonts w:ascii="Times New Roman" w:hAnsi="Times New Roman" w:eastAsia="微软雅黑" w:cs="Times New Roman"/>
          <w:b/>
          <w:bCs/>
          <w:sz w:val="21"/>
          <w:szCs w:val="21"/>
        </w:rPr>
      </w:pPr>
    </w:p>
    <w:p w14:paraId="5738905B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4. 试剂准备</w:t>
      </w:r>
    </w:p>
    <w:p w14:paraId="0639D140">
      <w:pPr>
        <w:widowControl/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1"/>
          <w:szCs w:val="21"/>
          <w:lang w:bidi="ar"/>
        </w:rPr>
        <w:t>Condition buffer：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70%ACN，0.2%TFA，每个样本需要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20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 TFA加入到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2.98m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l超纯水和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7m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l无水乙腈中，混匀；</w:t>
      </w:r>
    </w:p>
    <w:p w14:paraId="6D55C813">
      <w:pPr>
        <w:widowControl/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1"/>
          <w:szCs w:val="21"/>
          <w:lang w:bidi="ar"/>
        </w:rPr>
        <w:t>Wash buffer：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0.2%TFA，每个样本需要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6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72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 TFA加入到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35.928m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l超纯水，混匀；</w:t>
      </w:r>
    </w:p>
    <w:p w14:paraId="4111598F">
      <w:pPr>
        <w:spacing w:line="240" w:lineRule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5. 操作过程</w:t>
      </w:r>
    </w:p>
    <w:p w14:paraId="3EDB6EBF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5.1 蛋白提取</w:t>
      </w:r>
    </w:p>
    <w:p w14:paraId="3AF016D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对于细胞样本，细胞沉淀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中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加入适量试剂 0（建议细胞量不要超过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E6。参考体积比，细胞沉淀：试剂0约 1:5）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200μl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枪头反复吹打15-20次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hint="default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金属浴95℃加热</w:t>
      </w:r>
      <w:r>
        <w:rPr>
          <w:rFonts w:hint="eastAsia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min（95℃，1000rpm）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468562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/>
        <w:textAlignment w:val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注：样品出现粘稠时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可</w:t>
      </w: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使用超声波细胞破碎仪冰上超声2 min （25-30Hz ,每10s停10s）；</w:t>
      </w:r>
    </w:p>
    <w:p w14:paraId="0F7CFE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/>
        <w:textAlignment w:val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</w:pPr>
    </w:p>
    <w:p w14:paraId="64D052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对于组织样本，取适量组织样品加入试剂0（按1：8的比例加入试剂0，即25mg组织加入200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μl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试剂0），高通量组织研磨仪震荡研磨3次，</w:t>
      </w:r>
      <w:r>
        <w:rPr>
          <w:rFonts w:hint="default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金属浴95℃加热</w:t>
      </w:r>
      <w:r>
        <w:rPr>
          <w:rFonts w:hint="eastAsia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auto"/>
          <w:kern w:val="0"/>
          <w:sz w:val="21"/>
          <w:szCs w:val="21"/>
          <w:lang w:val="en-US" w:eastAsia="zh-CN" w:bidi="ar"/>
        </w:rPr>
        <w:t>min（95℃，1000rpm）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0363CA4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4℃，1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 离心 20min，取上清；</w:t>
      </w:r>
    </w:p>
    <w:p w14:paraId="468F619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上清进行 BCA 蛋白定量；</w:t>
      </w:r>
    </w:p>
    <w:p w14:paraId="4A9B724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根据定量结果，建议取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30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0μg 蛋白样品进行后续操作。</w:t>
      </w:r>
    </w:p>
    <w:p w14:paraId="53E8B204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5.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 xml:space="preserve"> 蛋白酶解</w:t>
      </w:r>
    </w:p>
    <w:p w14:paraId="3C99DA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a.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步骤5.1 d中得到的蛋白溶液（</w:t>
      </w: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建议总体积不超过20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highlight w:val="none"/>
          <w:lang w:val="en-US" w:eastAsia="zh-CN" w:bidi="ar"/>
        </w:rPr>
        <w:t>μl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highlight w:val="none"/>
          <w:lang w:val="en-US" w:eastAsia="zh-CN" w:bidi="ar"/>
        </w:rPr>
        <w:t>，血浆样本直接取原始样本进行后续实验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），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加入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试剂A 20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μl，吹打混匀；</w:t>
      </w:r>
    </w:p>
    <w:p w14:paraId="30831E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b. 加入12μl试剂B混匀后95℃加热5min（95℃，1000rpm）；</w:t>
      </w:r>
    </w:p>
    <w:p w14:paraId="3E8199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c. 加热结束待样品恢复至室温后，分别加入2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μl试剂C及5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μl试剂D，混匀，37℃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酶解2H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℃，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8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rpm）；</w:t>
      </w:r>
    </w:p>
    <w:p w14:paraId="36B1F1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d. 酶解结束后加入3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 μl试剂E，混匀，终止酶解反应，此时会有沉淀出现，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16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min吸取上清待后续脱盐。</w:t>
      </w:r>
    </w:p>
    <w:p w14:paraId="49C379A6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.3 肽段脱盐</w:t>
      </w:r>
    </w:p>
    <w:p w14:paraId="5C29BA9B">
      <w:pPr>
        <w:widowControl/>
        <w:numPr>
          <w:ilvl w:val="0"/>
          <w:numId w:val="4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bookmarkStart w:id="1" w:name="OLE_LINK3"/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脱盐柱活化：100μl甲醇加入到脱盐柱中，700g离心1min；</w:t>
      </w:r>
    </w:p>
    <w:p w14:paraId="15CCBFAC">
      <w:pPr>
        <w:widowControl/>
        <w:numPr>
          <w:ilvl w:val="0"/>
          <w:numId w:val="4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脱盐柱去杂质：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Condition buffer加入到脱盐柱中，700g离心1min；</w:t>
      </w:r>
    </w:p>
    <w:p w14:paraId="517F02DF">
      <w:pPr>
        <w:widowControl/>
        <w:numPr>
          <w:ilvl w:val="0"/>
          <w:numId w:val="4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脱盐柱平衡：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Wash buffer加入到脱盐柱中，700g离心1min；</w:t>
      </w:r>
    </w:p>
    <w:p w14:paraId="6F7E8B7C">
      <w:pPr>
        <w:widowControl/>
        <w:numPr>
          <w:ilvl w:val="0"/>
          <w:numId w:val="4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加载样本：将样本全部加载到脱盐柱中，700g离心1min，重复操作一次；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（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加载样本前确保pH &lt; 3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，可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使用20%TFA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调pH＜3后加载样本）</w:t>
      </w:r>
    </w:p>
    <w:p w14:paraId="4AAC9211">
      <w:pPr>
        <w:widowControl/>
        <w:numPr>
          <w:ilvl w:val="0"/>
          <w:numId w:val="4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脱盐柱清洗：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Wash buffer加入到脱盐柱中，700g离心1min，重复操作一次；</w:t>
      </w:r>
    </w:p>
    <w:p w14:paraId="4D550ADA">
      <w:pPr>
        <w:widowControl/>
        <w:numPr>
          <w:ilvl w:val="0"/>
          <w:numId w:val="4"/>
        </w:numPr>
        <w:spacing w:line="240" w:lineRule="auto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样本洗脱：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将除盐柱转移到新的离心管中，7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0μl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试剂H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加入到脱盐柱中，700g离心1min，洗脱两次，最终样本体积为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0μl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eastAsia="zh-CN" w:bidi="ar"/>
        </w:rPr>
        <w:t>；</w:t>
      </w:r>
    </w:p>
    <w:p w14:paraId="1D4C060B">
      <w:pPr>
        <w:widowControl/>
        <w:numPr>
          <w:ilvl w:val="0"/>
          <w:numId w:val="4"/>
        </w:numPr>
        <w:spacing w:line="240" w:lineRule="auto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调整buffer体系：洗脱的样本中每管加入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8μl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试剂I，混匀后待富集。</w:t>
      </w:r>
    </w:p>
    <w:bookmarkEnd w:id="1"/>
    <w:p w14:paraId="551418D6">
      <w:pPr>
        <w:spacing w:line="240" w:lineRule="auto"/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5.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 xml:space="preserve"> 肽段</w:t>
      </w: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富集</w:t>
      </w:r>
    </w:p>
    <w:p w14:paraId="53BEF89F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>EnrichmentTip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（富集柱）插入Adaptor上置于2ml离心管中；</w:t>
      </w:r>
    </w:p>
    <w:p w14:paraId="53F27A0F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0μl 试剂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F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加入到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>EnrichmentTip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（富集柱）中，2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6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00g离心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，重复操作三次，即一共四次；</w:t>
      </w:r>
    </w:p>
    <w:p w14:paraId="69574F12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将放有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>EnrichmentTip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（富集柱）的Adaptor转移至新的2ml离心管中；</w:t>
      </w:r>
    </w:p>
    <w:p w14:paraId="471A2BF5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加载样本：将样本全部加载到富集柱中，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00g离心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min，流穿液重复过柱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三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次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，即样本一共过柱四次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1A41A285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0μl 试剂F加入到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>EnrichmentTip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（富集柱）中，2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6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00g离心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，重复操作五次，即一共六次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2E9E15DF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样本洗脱：7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0μl 试剂G加入到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vertAlign w:val="baseline"/>
          <w:lang w:val="en-US" w:eastAsia="zh-CN"/>
        </w:rPr>
        <w:t>EnrichmentTip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（富集柱）中，2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00g离心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min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，重复操作一次，即一共洗脱两次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0ED5FB35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真空离心浓缩仪浓缩样本（建议&lt; 30℃）。</w:t>
      </w:r>
    </w:p>
    <w:p w14:paraId="436421CC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6. 注意事项</w:t>
      </w:r>
    </w:p>
    <w:p w14:paraId="0874B3BF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试剂0和试剂A低温下会析出，建议使用前置于水浴锅中（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5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6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℃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）放置10min，待结晶重新溶解后混合均匀使用；</w:t>
      </w:r>
    </w:p>
    <w:p w14:paraId="56E16899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使用低吸附离心管，最大限度的提高样本回收率；</w:t>
      </w:r>
    </w:p>
    <w:p w14:paraId="6991196B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酶解结束后加入试剂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E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有大量沉淀出现属于正常情况，高速离心后即可进行后续实验；</w:t>
      </w:r>
    </w:p>
    <w:p w14:paraId="0445B9A5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样本比较难消化酶解时可适当加长酶解时间；</w:t>
      </w:r>
    </w:p>
    <w:p w14:paraId="1AF6DD2A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酶解后样本如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不能及时进行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后续脱盐处理，可-80℃存放2周；</w:t>
      </w:r>
    </w:p>
    <w:p w14:paraId="18404DD4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避免样品污染及皮肤直接接触试剂，实验时戴好手套、口罩。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1"/>
        <w:gridCol w:w="2451"/>
      </w:tblGrid>
      <w:tr w14:paraId="17D70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6071" w:type="dxa"/>
            <w:noWrap w:val="0"/>
            <w:vAlign w:val="top"/>
          </w:tcPr>
          <w:p w14:paraId="261758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  <w:drawing>
                <wp:inline distT="0" distB="0" distL="114300" distR="114300">
                  <wp:extent cx="666115" cy="666115"/>
                  <wp:effectExtent l="0" t="0" r="4445" b="4445"/>
                  <wp:docPr id="6" name="图片 10" descr="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0" descr="cod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noWrap w:val="0"/>
            <w:vAlign w:val="center"/>
          </w:tcPr>
          <w:p w14:paraId="16E4B58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官方网站：</w:t>
            </w:r>
            <w:r>
              <w:rPr>
                <w:rStyle w:val="9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www.omicsolution.com</w:t>
            </w:r>
          </w:p>
          <w:p w14:paraId="0ECBC59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若有任何疑问，欢迎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发送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邮件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：</w:t>
            </w:r>
          </w:p>
          <w:p w14:paraId="73D983E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support@omicsolution.com</w:t>
            </w:r>
          </w:p>
        </w:tc>
      </w:tr>
    </w:tbl>
    <w:p w14:paraId="55CB790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327" w:right="1406" w:bottom="1157" w:left="1406" w:header="851" w:footer="90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8AB8D">
    <w:pPr>
      <w:pStyle w:val="3"/>
      <w:rPr>
        <w:rFonts w:hint="eastAsia"/>
        <w:lang w:eastAsia="zh-CN"/>
      </w:rPr>
    </w:pPr>
    <w:r>
      <w:rPr>
        <w:rFonts w:hint="eastAsia" w:ascii="微软雅黑" w:hAnsi="微软雅黑" w:eastAsia="微软雅黑" w:cs="微软雅黑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2595245</wp:posOffset>
              </wp:positionH>
              <wp:positionV relativeFrom="paragraph">
                <wp:posOffset>99060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2B6D33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35pt;margin-top:7.8pt;height:144pt;width:144pt;mso-position-horizontal-relative:margin;mso-wrap-style:none;z-index:251662336;mso-width-relative:page;mso-height-relative:page;" filled="f" stroked="f" coordsize="21600,21600" o:gfxdata="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BoPKC1wAAAAoBAAAPAAAAAAAAAAEAIAAAACIAAABkcnMvZG93bnJl&#10;di54bWxQSwECFAAUAAAACACHTuJAe3NDNTcCAABx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2B6D33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 w:cs="微软雅黑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635</wp:posOffset>
          </wp:positionH>
          <wp:positionV relativeFrom="page">
            <wp:posOffset>9334500</wp:posOffset>
          </wp:positionV>
          <wp:extent cx="7559040" cy="1327150"/>
          <wp:effectExtent l="0" t="0" r="0" b="13970"/>
          <wp:wrapNone/>
          <wp:docPr id="8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 flipV="1">
                    <a:off x="0" y="0"/>
                    <a:ext cx="755904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4AAF0">
    <w:pPr>
      <w:pStyle w:val="4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6350</wp:posOffset>
          </wp:positionH>
          <wp:positionV relativeFrom="page">
            <wp:posOffset>-6350</wp:posOffset>
          </wp:positionV>
          <wp:extent cx="7559675" cy="1357630"/>
          <wp:effectExtent l="0" t="0" r="14605" b="13970"/>
          <wp:wrapNone/>
          <wp:docPr id="7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100000</wp14:pctWidth>
          </wp14:sizeRelH>
          <wp14:sizeRelV relativeFrom="page">
            <wp14:pctHeight>0</wp14:pctHeight>
          </wp14:sizeRelV>
        </wp:anchor>
      </w:drawing>
    </w:r>
    <w:r>
      <w:rPr>
        <w:sz w:val="18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911860"/>
          <wp:effectExtent l="1487170" t="0" r="1548130" b="0"/>
          <wp:wrapNone/>
          <wp:docPr id="9" name="WordPictureWatermark3966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dPictureWatermark39663" descr="logo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5274310" cy="911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2A7489"/>
    <w:multiLevelType w:val="singleLevel"/>
    <w:tmpl w:val="842A748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70C61D9"/>
    <w:multiLevelType w:val="singleLevel"/>
    <w:tmpl w:val="970C61D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CE045B9A"/>
    <w:multiLevelType w:val="singleLevel"/>
    <w:tmpl w:val="CE045B9A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D0856594"/>
    <w:multiLevelType w:val="singleLevel"/>
    <w:tmpl w:val="D085659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63D0F73E"/>
    <w:multiLevelType w:val="singleLevel"/>
    <w:tmpl w:val="63D0F73E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00000000"/>
    <w:rsid w:val="047A7D7A"/>
    <w:rsid w:val="06314672"/>
    <w:rsid w:val="06F04422"/>
    <w:rsid w:val="07AC4686"/>
    <w:rsid w:val="098826F0"/>
    <w:rsid w:val="098F4378"/>
    <w:rsid w:val="0A3978DC"/>
    <w:rsid w:val="0BE300B2"/>
    <w:rsid w:val="0E89789A"/>
    <w:rsid w:val="0F407A4D"/>
    <w:rsid w:val="121C0AD1"/>
    <w:rsid w:val="13AC0DFB"/>
    <w:rsid w:val="1B826D04"/>
    <w:rsid w:val="1BAF4D2D"/>
    <w:rsid w:val="1D2737FF"/>
    <w:rsid w:val="1E4303B3"/>
    <w:rsid w:val="1EFC5E1C"/>
    <w:rsid w:val="239D478B"/>
    <w:rsid w:val="23E15A7C"/>
    <w:rsid w:val="261D6682"/>
    <w:rsid w:val="26DD6DF2"/>
    <w:rsid w:val="291446C1"/>
    <w:rsid w:val="2C8C750C"/>
    <w:rsid w:val="2FFA371C"/>
    <w:rsid w:val="306744D1"/>
    <w:rsid w:val="30926BF3"/>
    <w:rsid w:val="30B25E12"/>
    <w:rsid w:val="323C2095"/>
    <w:rsid w:val="33ED09D1"/>
    <w:rsid w:val="344F3FA7"/>
    <w:rsid w:val="346949D2"/>
    <w:rsid w:val="36DC77FF"/>
    <w:rsid w:val="37A367C3"/>
    <w:rsid w:val="389352C7"/>
    <w:rsid w:val="38F4049D"/>
    <w:rsid w:val="3C8069DB"/>
    <w:rsid w:val="3D2C6E4B"/>
    <w:rsid w:val="3F8F6DDC"/>
    <w:rsid w:val="40985A3E"/>
    <w:rsid w:val="41412BA9"/>
    <w:rsid w:val="41EA4FEF"/>
    <w:rsid w:val="428B180F"/>
    <w:rsid w:val="42967865"/>
    <w:rsid w:val="42F655C2"/>
    <w:rsid w:val="44320860"/>
    <w:rsid w:val="472352B4"/>
    <w:rsid w:val="48007487"/>
    <w:rsid w:val="49F35BF8"/>
    <w:rsid w:val="4A813434"/>
    <w:rsid w:val="4C886703"/>
    <w:rsid w:val="4DE17B97"/>
    <w:rsid w:val="4E190D2A"/>
    <w:rsid w:val="4F132029"/>
    <w:rsid w:val="507C6D9B"/>
    <w:rsid w:val="50A867A1"/>
    <w:rsid w:val="51145309"/>
    <w:rsid w:val="52A5300F"/>
    <w:rsid w:val="55307AC1"/>
    <w:rsid w:val="57FD7C8E"/>
    <w:rsid w:val="60546E99"/>
    <w:rsid w:val="60A74B67"/>
    <w:rsid w:val="60F90299"/>
    <w:rsid w:val="63F70CE7"/>
    <w:rsid w:val="644D7933"/>
    <w:rsid w:val="69125E43"/>
    <w:rsid w:val="6B734188"/>
    <w:rsid w:val="6CC94E87"/>
    <w:rsid w:val="71A4002C"/>
    <w:rsid w:val="745942EE"/>
    <w:rsid w:val="75696A80"/>
    <w:rsid w:val="75BE509E"/>
    <w:rsid w:val="77416E84"/>
    <w:rsid w:val="77EF04D9"/>
    <w:rsid w:val="79F21897"/>
    <w:rsid w:val="7AF516A8"/>
    <w:rsid w:val="7B2C7E4B"/>
    <w:rsid w:val="7BE13941"/>
    <w:rsid w:val="7CE61495"/>
    <w:rsid w:val="7D1909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1.jpe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microsoft.com/office/2007/relationships/hdphoto" Target="media/image8.wdp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1882</Words>
  <Characters>2623</Characters>
  <Lines>0</Lines>
  <Paragraphs>0</Paragraphs>
  <TotalTime>3</TotalTime>
  <ScaleCrop>false</ScaleCrop>
  <LinksUpToDate>false</LinksUpToDate>
  <CharactersWithSpaces>2721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2022-03-28T04:49:00Z</dcterms:created>
  <dc:creator>omicsolution</dc:creator>
  <cp:lastModifiedBy>＄@＃</cp:lastModifiedBy>
  <dcterms:modified xsi:type="dcterms:W3CDTF">2026-06-10T01:25:19Z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55CE252113674512B919EF1945D1327D_13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