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media/image10.svg" ContentType="image/svg+xml"/>
  <Override PartName="/word/media/image5.svg" ContentType="image/svg+xml"/>
  <Override PartName="/word/media/image8.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B756CB">
      <w:pPr>
        <w:jc w:val="center"/>
        <w:rPr>
          <w:rFonts w:hint="eastAsia" w:ascii="微软雅黑" w:hAnsi="微软雅黑" w:eastAsia="微软雅黑" w:cs="微软雅黑"/>
          <w:b/>
          <w:bCs/>
          <w:sz w:val="32"/>
          <w:szCs w:val="32"/>
          <w:lang w:val="en-US" w:eastAsia="zh-CN"/>
        </w:rPr>
      </w:pPr>
      <w:r>
        <w:rPr>
          <w:rFonts w:hint="eastAsia" w:ascii="微软雅黑" w:hAnsi="微软雅黑" w:eastAsia="微软雅黑" w:cs="微软雅黑"/>
          <w:b/>
          <w:bCs/>
          <w:sz w:val="32"/>
          <w:szCs w:val="32"/>
          <w:lang w:val="en-US" w:eastAsia="zh-CN"/>
        </w:rPr>
        <w:t>Ultra</w:t>
      </w:r>
      <w:r>
        <w:rPr>
          <w:rFonts w:hint="eastAsia" w:ascii="微软雅黑" w:hAnsi="微软雅黑" w:eastAsia="微软雅黑" w:cs="微软雅黑"/>
          <w:b/>
          <w:bCs/>
          <w:sz w:val="32"/>
          <w:szCs w:val="32"/>
        </w:rPr>
        <w:t>单细胞蛋白质组前处理</w:t>
      </w:r>
      <w:r>
        <w:rPr>
          <w:rFonts w:hint="eastAsia" w:ascii="微软雅黑" w:hAnsi="微软雅黑" w:eastAsia="微软雅黑" w:cs="微软雅黑"/>
          <w:b/>
          <w:bCs/>
          <w:sz w:val="32"/>
          <w:szCs w:val="32"/>
          <w:lang w:val="en-US" w:eastAsia="zh-CN"/>
        </w:rPr>
        <w:t>试剂盒</w:t>
      </w:r>
    </w:p>
    <w:p w14:paraId="6C71CD99">
      <w:pPr>
        <w:jc w:val="center"/>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货号：OSFP0009  规格：48x  版本号：V20260609</w:t>
      </w:r>
      <w:bookmarkStart w:id="0" w:name="_GoBack"/>
      <w:bookmarkEnd w:id="0"/>
    </w:p>
    <w:p w14:paraId="718F4C95">
      <w:pPr>
        <w:numPr>
          <w:ilvl w:val="0"/>
          <w:numId w:val="1"/>
        </w:numPr>
        <w:spacing w:line="240" w:lineRule="auto"/>
        <w:ind w:left="0" w:leftChars="0" w:firstLine="0" w:firstLineChars="0"/>
        <w:rPr>
          <w:rFonts w:hint="eastAsia" w:ascii="微软雅黑" w:hAnsi="微软雅黑" w:eastAsia="微软雅黑" w:cs="微软雅黑"/>
          <w:b/>
          <w:bCs/>
          <w:sz w:val="21"/>
          <w:szCs w:val="21"/>
          <w:lang w:val="en-US" w:eastAsia="zh-CN"/>
        </w:rPr>
      </w:pPr>
      <w:r>
        <w:rPr>
          <w:rFonts w:hint="eastAsia" w:ascii="微软雅黑" w:hAnsi="微软雅黑" w:eastAsia="微软雅黑" w:cs="微软雅黑"/>
          <w:b/>
          <w:bCs/>
          <w:sz w:val="21"/>
          <w:szCs w:val="21"/>
          <w:lang w:val="en-US" w:eastAsia="zh-CN"/>
        </w:rPr>
        <w:t>试剂盒包含：</w:t>
      </w:r>
    </w:p>
    <w:tbl>
      <w:tblPr>
        <w:tblStyle w:val="6"/>
        <w:tblpPr w:leftFromText="180" w:rightFromText="180" w:vertAnchor="text" w:horzAnchor="page" w:tblpX="1798" w:tblpY="579"/>
        <w:tblOverlap w:val="never"/>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389"/>
        <w:gridCol w:w="1514"/>
        <w:gridCol w:w="4329"/>
        <w:gridCol w:w="1287"/>
      </w:tblGrid>
      <w:tr w14:paraId="6628BE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5" w:type="pct"/>
            <w:tcBorders>
              <w:top w:val="single" w:color="auto" w:sz="6" w:space="0"/>
              <w:bottom w:val="single" w:color="auto" w:sz="6" w:space="0"/>
            </w:tcBorders>
            <w:vAlign w:val="center"/>
          </w:tcPr>
          <w:p w14:paraId="3B5512F7">
            <w:pPr>
              <w:spacing w:line="360" w:lineRule="auto"/>
              <w:jc w:val="center"/>
              <w:rPr>
                <w:rFonts w:hint="eastAsia" w:ascii="微软雅黑" w:hAnsi="微软雅黑" w:eastAsia="微软雅黑" w:cs="微软雅黑"/>
                <w:b/>
                <w:bCs/>
                <w:sz w:val="18"/>
                <w:szCs w:val="18"/>
              </w:rPr>
            </w:pPr>
            <w:r>
              <w:rPr>
                <w:rFonts w:hint="eastAsia" w:ascii="微软雅黑" w:hAnsi="微软雅黑" w:eastAsia="微软雅黑" w:cs="微软雅黑"/>
                <w:b/>
                <w:bCs/>
                <w:sz w:val="18"/>
                <w:szCs w:val="18"/>
              </w:rPr>
              <w:t>试剂名称</w:t>
            </w:r>
          </w:p>
        </w:tc>
        <w:tc>
          <w:tcPr>
            <w:tcW w:w="888" w:type="pct"/>
            <w:tcBorders>
              <w:top w:val="single" w:color="auto" w:sz="6" w:space="0"/>
              <w:bottom w:val="single" w:color="auto" w:sz="6" w:space="0"/>
            </w:tcBorders>
            <w:vAlign w:val="center"/>
          </w:tcPr>
          <w:p w14:paraId="35B0050A">
            <w:pPr>
              <w:spacing w:line="360" w:lineRule="auto"/>
              <w:jc w:val="center"/>
              <w:rPr>
                <w:rFonts w:hint="eastAsia" w:ascii="微软雅黑" w:hAnsi="微软雅黑" w:eastAsia="微软雅黑" w:cs="微软雅黑"/>
                <w:b/>
                <w:bCs/>
                <w:sz w:val="18"/>
                <w:szCs w:val="18"/>
              </w:rPr>
            </w:pPr>
            <w:r>
              <w:rPr>
                <w:rFonts w:hint="eastAsia" w:ascii="微软雅黑" w:hAnsi="微软雅黑" w:eastAsia="微软雅黑" w:cs="微软雅黑"/>
                <w:b/>
                <w:bCs/>
                <w:sz w:val="18"/>
                <w:szCs w:val="18"/>
              </w:rPr>
              <w:t>规格</w:t>
            </w:r>
          </w:p>
        </w:tc>
        <w:tc>
          <w:tcPr>
            <w:tcW w:w="2540" w:type="pct"/>
            <w:tcBorders>
              <w:top w:val="single" w:color="auto" w:sz="6" w:space="0"/>
              <w:bottom w:val="single" w:color="auto" w:sz="6" w:space="0"/>
            </w:tcBorders>
            <w:vAlign w:val="center"/>
          </w:tcPr>
          <w:p w14:paraId="2124B2A8">
            <w:pPr>
              <w:spacing w:line="360" w:lineRule="auto"/>
              <w:jc w:val="center"/>
              <w:rPr>
                <w:rFonts w:hint="eastAsia" w:ascii="微软雅黑" w:hAnsi="微软雅黑" w:eastAsia="微软雅黑" w:cs="微软雅黑"/>
                <w:b/>
                <w:bCs/>
                <w:sz w:val="18"/>
                <w:szCs w:val="18"/>
              </w:rPr>
            </w:pPr>
            <w:r>
              <w:rPr>
                <w:rFonts w:hint="eastAsia" w:ascii="微软雅黑" w:hAnsi="微软雅黑" w:eastAsia="微软雅黑" w:cs="微软雅黑"/>
                <w:b/>
                <w:bCs/>
                <w:sz w:val="18"/>
                <w:szCs w:val="18"/>
              </w:rPr>
              <w:t>简   介</w:t>
            </w:r>
          </w:p>
        </w:tc>
        <w:tc>
          <w:tcPr>
            <w:tcW w:w="755" w:type="pct"/>
            <w:tcBorders>
              <w:top w:val="single" w:color="auto" w:sz="6" w:space="0"/>
              <w:bottom w:val="single" w:color="auto" w:sz="6" w:space="0"/>
            </w:tcBorders>
            <w:vAlign w:val="center"/>
          </w:tcPr>
          <w:p w14:paraId="45968AD6">
            <w:pPr>
              <w:spacing w:line="360" w:lineRule="auto"/>
              <w:jc w:val="center"/>
              <w:rPr>
                <w:rFonts w:hint="eastAsia" w:ascii="微软雅黑" w:hAnsi="微软雅黑" w:eastAsia="微软雅黑" w:cs="微软雅黑"/>
                <w:b/>
                <w:bCs/>
                <w:sz w:val="18"/>
                <w:szCs w:val="18"/>
              </w:rPr>
            </w:pPr>
            <w:r>
              <w:rPr>
                <w:rFonts w:hint="eastAsia" w:ascii="微软雅黑" w:hAnsi="微软雅黑" w:eastAsia="微软雅黑" w:cs="微软雅黑"/>
                <w:b/>
                <w:bCs/>
                <w:sz w:val="18"/>
                <w:szCs w:val="18"/>
              </w:rPr>
              <w:t>储存条件</w:t>
            </w:r>
          </w:p>
        </w:tc>
      </w:tr>
      <w:tr w14:paraId="645F36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5" w:type="pct"/>
            <w:tcBorders>
              <w:top w:val="nil"/>
              <w:bottom w:val="nil"/>
            </w:tcBorders>
            <w:vAlign w:val="center"/>
          </w:tcPr>
          <w:p w14:paraId="31052634">
            <w:pPr>
              <w:spacing w:line="360" w:lineRule="auto"/>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 xml:space="preserve">试剂A </w:t>
            </w:r>
            <w:r>
              <w:rPr>
                <w:rFonts w:hint="eastAsia" w:ascii="微软雅黑" w:hAnsi="微软雅黑" w:eastAsia="微软雅黑" w:cs="微软雅黑"/>
                <w:color w:val="843C0B" w:themeColor="accent2" w:themeShade="80"/>
                <w:sz w:val="18"/>
                <w:szCs w:val="18"/>
              </w:rPr>
              <w:t>●</w:t>
            </w:r>
          </w:p>
        </w:tc>
        <w:tc>
          <w:tcPr>
            <w:tcW w:w="888" w:type="pct"/>
            <w:tcBorders>
              <w:top w:val="nil"/>
              <w:bottom w:val="nil"/>
            </w:tcBorders>
            <w:vAlign w:val="center"/>
          </w:tcPr>
          <w:p w14:paraId="11174F8B">
            <w:pPr>
              <w:spacing w:line="360" w:lineRule="auto"/>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600u</w:t>
            </w:r>
            <w:r>
              <w:rPr>
                <w:rFonts w:hint="eastAsia" w:ascii="微软雅黑" w:hAnsi="微软雅黑" w:eastAsia="微软雅黑" w:cs="微软雅黑"/>
                <w:sz w:val="18"/>
                <w:szCs w:val="18"/>
              </w:rPr>
              <w:t>l</w:t>
            </w:r>
            <w:r>
              <w:rPr>
                <w:rFonts w:hint="eastAsia" w:ascii="微软雅黑" w:hAnsi="微软雅黑" w:eastAsia="微软雅黑" w:cs="微软雅黑"/>
                <w:sz w:val="18"/>
                <w:szCs w:val="18"/>
                <w:lang w:val="en-US" w:eastAsia="zh-CN"/>
              </w:rPr>
              <w:t xml:space="preserve"> </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 xml:space="preserve"> </w:t>
            </w:r>
            <w:r>
              <w:rPr>
                <w:rFonts w:hint="eastAsia" w:ascii="微软雅黑" w:hAnsi="微软雅黑" w:eastAsia="微软雅黑" w:cs="微软雅黑"/>
                <w:sz w:val="18"/>
                <w:szCs w:val="18"/>
              </w:rPr>
              <w:t>1</w:t>
            </w:r>
          </w:p>
        </w:tc>
        <w:tc>
          <w:tcPr>
            <w:tcW w:w="2540" w:type="pct"/>
            <w:tcBorders>
              <w:top w:val="nil"/>
              <w:bottom w:val="nil"/>
            </w:tcBorders>
            <w:vAlign w:val="center"/>
          </w:tcPr>
          <w:p w14:paraId="5F29E56C">
            <w:pPr>
              <w:spacing w:line="360" w:lineRule="auto"/>
              <w:jc w:val="cente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rPr>
              <w:t>还原烷基化，蛋白质还原烷基化</w:t>
            </w:r>
            <w:r>
              <w:rPr>
                <w:rFonts w:hint="eastAsia" w:ascii="微软雅黑" w:hAnsi="微软雅黑" w:eastAsia="微软雅黑" w:cs="微软雅黑"/>
                <w:sz w:val="18"/>
                <w:szCs w:val="18"/>
                <w:lang w:eastAsia="zh-CN"/>
              </w:rPr>
              <w:t>，</w:t>
            </w:r>
            <w:r>
              <w:rPr>
                <w:rFonts w:hint="eastAsia" w:ascii="微软雅黑" w:hAnsi="微软雅黑" w:eastAsia="微软雅黑" w:cs="微软雅黑"/>
                <w:sz w:val="18"/>
                <w:szCs w:val="18"/>
                <w:lang w:val="en-US" w:eastAsia="zh-CN"/>
              </w:rPr>
              <w:t>也可用于蛋白裂解</w:t>
            </w:r>
          </w:p>
        </w:tc>
        <w:tc>
          <w:tcPr>
            <w:tcW w:w="755" w:type="pct"/>
            <w:tcBorders>
              <w:top w:val="nil"/>
              <w:bottom w:val="nil"/>
            </w:tcBorders>
            <w:vAlign w:val="center"/>
          </w:tcPr>
          <w:p w14:paraId="5F8E1D0B">
            <w:pPr>
              <w:spacing w:line="360" w:lineRule="auto"/>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-20℃</w:t>
            </w:r>
          </w:p>
        </w:tc>
      </w:tr>
      <w:tr w14:paraId="766029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5" w:type="pct"/>
            <w:tcBorders>
              <w:top w:val="nil"/>
              <w:bottom w:val="nil"/>
            </w:tcBorders>
            <w:vAlign w:val="center"/>
          </w:tcPr>
          <w:p w14:paraId="569437A2">
            <w:pPr>
              <w:spacing w:line="360" w:lineRule="auto"/>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试剂</w:t>
            </w:r>
            <w:r>
              <w:rPr>
                <w:rFonts w:hint="eastAsia" w:ascii="微软雅黑" w:hAnsi="微软雅黑" w:eastAsia="微软雅黑" w:cs="微软雅黑"/>
                <w:sz w:val="18"/>
                <w:szCs w:val="18"/>
                <w:lang w:val="en-US" w:eastAsia="zh-CN"/>
              </w:rPr>
              <w:t>B</w:t>
            </w:r>
            <w:r>
              <w:rPr>
                <w:rFonts w:hint="eastAsia" w:ascii="微软雅黑" w:hAnsi="微软雅黑" w:eastAsia="微软雅黑" w:cs="微软雅黑"/>
                <w:sz w:val="18"/>
                <w:szCs w:val="18"/>
              </w:rPr>
              <w:t xml:space="preserve"> </w:t>
            </w:r>
            <w:r>
              <w:rPr>
                <w:rFonts w:hint="eastAsia" w:ascii="微软雅黑" w:hAnsi="微软雅黑" w:eastAsia="微软雅黑" w:cs="微软雅黑"/>
                <w:color w:val="0000FF"/>
                <w:sz w:val="18"/>
                <w:szCs w:val="18"/>
              </w:rPr>
              <w:t>●</w:t>
            </w:r>
          </w:p>
        </w:tc>
        <w:tc>
          <w:tcPr>
            <w:tcW w:w="888" w:type="pct"/>
            <w:tcBorders>
              <w:top w:val="nil"/>
              <w:bottom w:val="nil"/>
            </w:tcBorders>
            <w:vAlign w:val="center"/>
          </w:tcPr>
          <w:p w14:paraId="1990573C">
            <w:pPr>
              <w:spacing w:line="360" w:lineRule="auto"/>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 xml:space="preserve">65 </w:t>
            </w:r>
            <w:r>
              <w:rPr>
                <w:rFonts w:hint="eastAsia" w:ascii="微软雅黑" w:hAnsi="微软雅黑" w:eastAsia="微软雅黑" w:cs="微软雅黑"/>
                <w:sz w:val="18"/>
                <w:szCs w:val="18"/>
              </w:rPr>
              <w:t>μl</w:t>
            </w:r>
            <w:r>
              <w:rPr>
                <w:rFonts w:hint="eastAsia" w:ascii="微软雅黑" w:hAnsi="微软雅黑" w:eastAsia="微软雅黑" w:cs="微软雅黑"/>
                <w:sz w:val="18"/>
                <w:szCs w:val="18"/>
                <w:lang w:val="en-US" w:eastAsia="zh-CN"/>
              </w:rPr>
              <w:t xml:space="preserve"> </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 xml:space="preserve"> </w:t>
            </w:r>
            <w:r>
              <w:rPr>
                <w:rFonts w:hint="eastAsia" w:ascii="微软雅黑" w:hAnsi="微软雅黑" w:eastAsia="微软雅黑" w:cs="微软雅黑"/>
                <w:sz w:val="18"/>
                <w:szCs w:val="18"/>
              </w:rPr>
              <w:t>1</w:t>
            </w:r>
          </w:p>
        </w:tc>
        <w:tc>
          <w:tcPr>
            <w:tcW w:w="2540" w:type="pct"/>
            <w:tcBorders>
              <w:top w:val="nil"/>
              <w:bottom w:val="nil"/>
            </w:tcBorders>
            <w:vAlign w:val="center"/>
          </w:tcPr>
          <w:p w14:paraId="5BA15EE0">
            <w:pPr>
              <w:spacing w:line="360" w:lineRule="auto"/>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酶，蛋白酶解</w:t>
            </w:r>
          </w:p>
        </w:tc>
        <w:tc>
          <w:tcPr>
            <w:tcW w:w="755" w:type="pct"/>
            <w:tcBorders>
              <w:top w:val="nil"/>
              <w:bottom w:val="nil"/>
            </w:tcBorders>
            <w:vAlign w:val="center"/>
          </w:tcPr>
          <w:p w14:paraId="54C2FDD8">
            <w:pPr>
              <w:spacing w:line="360" w:lineRule="auto"/>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-20℃</w:t>
            </w:r>
          </w:p>
        </w:tc>
      </w:tr>
      <w:tr w14:paraId="362B14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5" w:type="pct"/>
            <w:tcBorders>
              <w:top w:val="nil"/>
              <w:bottom w:val="single" w:color="auto" w:sz="4" w:space="0"/>
            </w:tcBorders>
            <w:vAlign w:val="center"/>
          </w:tcPr>
          <w:p w14:paraId="15DA11A9">
            <w:pPr>
              <w:spacing w:line="360" w:lineRule="auto"/>
              <w:jc w:val="center"/>
              <w:rPr>
                <w:rFonts w:hint="eastAsia" w:ascii="微软雅黑" w:hAnsi="微软雅黑" w:eastAsia="微软雅黑" w:cs="微软雅黑"/>
                <w:kern w:val="2"/>
                <w:sz w:val="18"/>
                <w:szCs w:val="18"/>
                <w:lang w:val="en-US" w:eastAsia="zh-CN" w:bidi="ar-SA"/>
              </w:rPr>
            </w:pPr>
            <w:r>
              <w:rPr>
                <w:rFonts w:hint="eastAsia" w:ascii="微软雅黑" w:hAnsi="微软雅黑" w:eastAsia="微软雅黑" w:cs="微软雅黑"/>
                <w:sz w:val="18"/>
                <w:szCs w:val="18"/>
              </w:rPr>
              <w:t>试剂</w:t>
            </w:r>
            <w:r>
              <w:rPr>
                <w:rFonts w:hint="eastAsia" w:ascii="微软雅黑" w:hAnsi="微软雅黑" w:eastAsia="微软雅黑" w:cs="微软雅黑"/>
                <w:sz w:val="18"/>
                <w:szCs w:val="18"/>
                <w:lang w:val="en-US" w:eastAsia="zh-CN"/>
              </w:rPr>
              <w:t>C</w:t>
            </w:r>
            <w:r>
              <w:rPr>
                <w:rFonts w:hint="eastAsia" w:ascii="微软雅黑" w:hAnsi="微软雅黑" w:eastAsia="微软雅黑" w:cs="微软雅黑"/>
                <w:sz w:val="18"/>
                <w:szCs w:val="18"/>
              </w:rPr>
              <w:t xml:space="preserve"> ●</w:t>
            </w:r>
          </w:p>
        </w:tc>
        <w:tc>
          <w:tcPr>
            <w:tcW w:w="888" w:type="pct"/>
            <w:tcBorders>
              <w:top w:val="nil"/>
              <w:bottom w:val="single" w:color="auto" w:sz="4" w:space="0"/>
            </w:tcBorders>
            <w:vAlign w:val="center"/>
          </w:tcPr>
          <w:p w14:paraId="41381FEB">
            <w:pPr>
              <w:spacing w:line="360" w:lineRule="auto"/>
              <w:jc w:val="center"/>
              <w:rPr>
                <w:rFonts w:hint="eastAsia" w:ascii="微软雅黑" w:hAnsi="微软雅黑" w:eastAsia="微软雅黑" w:cs="微软雅黑"/>
                <w:kern w:val="2"/>
                <w:sz w:val="18"/>
                <w:szCs w:val="18"/>
                <w:lang w:val="en-US" w:eastAsia="zh-CN" w:bidi="ar-SA"/>
              </w:rPr>
            </w:pPr>
            <w:r>
              <w:rPr>
                <w:rFonts w:hint="eastAsia" w:ascii="微软雅黑" w:hAnsi="微软雅黑" w:eastAsia="微软雅黑" w:cs="微软雅黑"/>
                <w:sz w:val="18"/>
                <w:szCs w:val="18"/>
                <w:lang w:val="en-US" w:eastAsia="zh-CN"/>
              </w:rPr>
              <w:t>600u</w:t>
            </w:r>
            <w:r>
              <w:rPr>
                <w:rFonts w:hint="eastAsia" w:ascii="微软雅黑" w:hAnsi="微软雅黑" w:eastAsia="微软雅黑" w:cs="微软雅黑"/>
                <w:sz w:val="18"/>
                <w:szCs w:val="18"/>
              </w:rPr>
              <w:t>l</w:t>
            </w:r>
            <w:r>
              <w:rPr>
                <w:rFonts w:hint="eastAsia" w:ascii="微软雅黑" w:hAnsi="微软雅黑" w:eastAsia="微软雅黑" w:cs="微软雅黑"/>
                <w:sz w:val="18"/>
                <w:szCs w:val="18"/>
                <w:lang w:val="en-US" w:eastAsia="zh-CN"/>
              </w:rPr>
              <w:t xml:space="preserve"> </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 xml:space="preserve"> </w:t>
            </w:r>
            <w:r>
              <w:rPr>
                <w:rFonts w:hint="eastAsia" w:ascii="微软雅黑" w:hAnsi="微软雅黑" w:eastAsia="微软雅黑" w:cs="微软雅黑"/>
                <w:sz w:val="18"/>
                <w:szCs w:val="18"/>
              </w:rPr>
              <w:t>1</w:t>
            </w:r>
          </w:p>
        </w:tc>
        <w:tc>
          <w:tcPr>
            <w:tcW w:w="2540" w:type="pct"/>
            <w:tcBorders>
              <w:top w:val="nil"/>
              <w:bottom w:val="single" w:color="auto" w:sz="4" w:space="0"/>
            </w:tcBorders>
            <w:vAlign w:val="center"/>
          </w:tcPr>
          <w:p w14:paraId="52E0D43C">
            <w:pPr>
              <w:spacing w:line="360" w:lineRule="auto"/>
              <w:jc w:val="center"/>
              <w:rPr>
                <w:rFonts w:hint="default" w:ascii="微软雅黑" w:hAnsi="微软雅黑" w:eastAsia="微软雅黑" w:cs="微软雅黑"/>
                <w:kern w:val="2"/>
                <w:sz w:val="18"/>
                <w:szCs w:val="18"/>
                <w:lang w:val="en-US" w:eastAsia="zh-CN" w:bidi="ar-SA"/>
              </w:rPr>
            </w:pPr>
            <w:r>
              <w:rPr>
                <w:rFonts w:hint="eastAsia" w:ascii="微软雅黑" w:hAnsi="微软雅黑" w:eastAsia="微软雅黑" w:cs="微软雅黑"/>
                <w:sz w:val="18"/>
                <w:szCs w:val="18"/>
              </w:rPr>
              <w:t>终止试剂，终止酶解反应</w:t>
            </w:r>
          </w:p>
        </w:tc>
        <w:tc>
          <w:tcPr>
            <w:tcW w:w="755" w:type="pct"/>
            <w:tcBorders>
              <w:top w:val="nil"/>
              <w:bottom w:val="single" w:color="auto" w:sz="4" w:space="0"/>
            </w:tcBorders>
            <w:vAlign w:val="center"/>
          </w:tcPr>
          <w:p w14:paraId="302F9A2C">
            <w:pPr>
              <w:spacing w:line="360" w:lineRule="auto"/>
              <w:jc w:val="center"/>
              <w:rPr>
                <w:rFonts w:hint="eastAsia" w:ascii="微软雅黑" w:hAnsi="微软雅黑" w:eastAsia="微软雅黑" w:cs="微软雅黑"/>
                <w:kern w:val="2"/>
                <w:sz w:val="18"/>
                <w:szCs w:val="18"/>
                <w:lang w:val="en-US" w:eastAsia="zh-CN" w:bidi="ar-SA"/>
              </w:rPr>
            </w:pPr>
            <w:r>
              <w:rPr>
                <w:rFonts w:hint="eastAsia" w:ascii="微软雅黑" w:hAnsi="微软雅黑" w:eastAsia="微软雅黑" w:cs="微软雅黑"/>
                <w:sz w:val="18"/>
                <w:szCs w:val="18"/>
              </w:rPr>
              <w:t>常温</w:t>
            </w:r>
          </w:p>
        </w:tc>
      </w:tr>
    </w:tbl>
    <w:p w14:paraId="03F822CC">
      <w:pPr>
        <w:numPr>
          <w:ilvl w:val="0"/>
          <w:numId w:val="1"/>
        </w:numPr>
        <w:spacing w:line="240" w:lineRule="auto"/>
        <w:ind w:left="0" w:leftChars="0" w:firstLine="0" w:firstLineChars="0"/>
        <w:rPr>
          <w:rFonts w:hint="eastAsia" w:ascii="微软雅黑" w:hAnsi="微软雅黑" w:eastAsia="微软雅黑" w:cs="微软雅黑"/>
          <w:b/>
          <w:bCs/>
          <w:sz w:val="21"/>
          <w:szCs w:val="21"/>
          <w:lang w:val="en-US" w:eastAsia="zh-CN"/>
        </w:rPr>
      </w:pPr>
      <w:r>
        <w:rPr>
          <w:rFonts w:hint="eastAsia" w:ascii="微软雅黑" w:hAnsi="微软雅黑" w:eastAsia="微软雅黑" w:cs="微软雅黑"/>
          <w:b/>
          <w:bCs/>
          <w:sz w:val="21"/>
          <w:szCs w:val="21"/>
          <w:lang w:val="en-US" w:eastAsia="zh-CN"/>
        </w:rPr>
        <w:t>试剂盒简介：</w:t>
      </w:r>
    </w:p>
    <w:p w14:paraId="55122DB2">
      <w:pPr>
        <w:keepNext w:val="0"/>
        <w:keepLines w:val="0"/>
        <w:widowControl/>
        <w:suppressLineNumbers w:val="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生命体的最小组成单位是细胞，遗传及外部环境等因素使单细胞异质性广泛存在于众多生物体中。传统的生物学实验获得的结果多是大量细胞的平均测量值，因此在单细胞层面开展研究对于精确理解细胞的生长发育以及疾病的诊断与治疗至关重要。作为重要的细胞和生命活动的执行者，蛋白质由于其不具备扩增特性，且种类繁多、丰度低、动态分布范围宽，从而使单个细胞或者少量的细胞研究难以开展，无法得到理想的结果。OSFP0009试剂盒仅需简单几步就可完成全部实验，整个工作流约1.5h即可完成，操作简便且实验效果极佳，而且不用除盐，减少了样本的损失，使样本能尽可能的都能进行质谱检测，提升样本的鉴定结果。</w:t>
      </w:r>
    </w:p>
    <w:p w14:paraId="6F1DB086">
      <w:pPr>
        <w:keepNext w:val="0"/>
        <w:keepLines w:val="0"/>
        <w:widowControl/>
        <w:suppressLineNumbers w:val="0"/>
        <w:jc w:val="left"/>
        <w:rPr>
          <w:rFonts w:hint="default" w:ascii="微软雅黑" w:hAnsi="微软雅黑" w:eastAsia="微软雅黑" w:cs="微软雅黑"/>
          <w:lang w:val="en-US" w:eastAsia="zh-CN"/>
        </w:rPr>
      </w:pPr>
      <w:r>
        <w:rPr>
          <w:rFonts w:hint="default" w:ascii="微软雅黑" w:hAnsi="微软雅黑" w:eastAsia="微软雅黑" w:cs="微软雅黑"/>
          <w:lang w:val="en-US" w:eastAsia="zh-CN"/>
        </w:rPr>
        <w:drawing>
          <wp:inline distT="0" distB="0" distL="114300" distR="114300">
            <wp:extent cx="5266055" cy="2395220"/>
            <wp:effectExtent l="0" t="0" r="1270" b="0"/>
            <wp:docPr id="6" name="图片 6" descr="OSFP00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OSFP0009-8"/>
                    <pic:cNvPicPr>
                      <a:picLocks noChangeAspect="1"/>
                    </pic:cNvPicPr>
                  </pic:nvPicPr>
                  <pic:blipFill>
                    <a:blip r:embed="rId6"/>
                    <a:stretch>
                      <a:fillRect/>
                    </a:stretch>
                  </pic:blipFill>
                  <pic:spPr>
                    <a:xfrm>
                      <a:off x="0" y="0"/>
                      <a:ext cx="5266055" cy="2395220"/>
                    </a:xfrm>
                    <a:prstGeom prst="rect">
                      <a:avLst/>
                    </a:prstGeom>
                  </pic:spPr>
                </pic:pic>
              </a:graphicData>
            </a:graphic>
          </wp:inline>
        </w:drawing>
      </w:r>
    </w:p>
    <w:p w14:paraId="23B6A5EA">
      <w:pPr>
        <w:numPr>
          <w:ilvl w:val="0"/>
          <w:numId w:val="1"/>
        </w:numPr>
        <w:spacing w:line="240" w:lineRule="auto"/>
        <w:ind w:left="0" w:leftChars="0" w:firstLine="0" w:firstLineChars="0"/>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需要准备的试剂耗材</w:t>
      </w:r>
    </w:p>
    <w:p w14:paraId="0EAA9601">
      <w:pPr>
        <w:spacing w:line="240" w:lineRule="auto"/>
        <w:rPr>
          <w:rFonts w:ascii="Times New Roman" w:hAnsi="Times New Roman" w:eastAsia="微软雅黑" w:cs="Times New Roman"/>
          <w:b/>
          <w:bCs/>
          <w:sz w:val="21"/>
          <w:szCs w:val="21"/>
        </w:rPr>
      </w:pPr>
      <w:r>
        <w:rPr>
          <w:rFonts w:ascii="Times New Roman" w:hAnsi="Times New Roman" w:eastAsia="微软雅黑" w:cs="Times New Roman"/>
          <w:b/>
          <w:bCs/>
          <w:sz w:val="21"/>
          <w:szCs w:val="21"/>
        </w:rPr>
        <w:t>3.1 设备</w:t>
      </w:r>
    </w:p>
    <w:tbl>
      <w:tblPr>
        <w:tblStyle w:val="6"/>
        <w:tblW w:w="49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70"/>
        <w:gridCol w:w="1401"/>
        <w:gridCol w:w="5548"/>
      </w:tblGrid>
      <w:tr w14:paraId="1AC191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21" w:type="pct"/>
            <w:tcBorders>
              <w:top w:val="single" w:color="auto" w:sz="6" w:space="0"/>
              <w:bottom w:val="single" w:color="auto" w:sz="4" w:space="0"/>
            </w:tcBorders>
            <w:vAlign w:val="center"/>
          </w:tcPr>
          <w:p w14:paraId="563BEDAB">
            <w:pPr>
              <w:spacing w:line="240" w:lineRule="auto"/>
              <w:jc w:val="center"/>
              <w:rPr>
                <w:rFonts w:ascii="Times New Roman" w:hAnsi="Times New Roman" w:eastAsia="微软雅黑" w:cs="Times New Roman"/>
                <w:b/>
                <w:bCs/>
                <w:sz w:val="18"/>
                <w:szCs w:val="18"/>
              </w:rPr>
            </w:pPr>
            <w:r>
              <w:rPr>
                <w:rFonts w:ascii="Times New Roman" w:hAnsi="Times New Roman" w:eastAsia="微软雅黑" w:cs="Times New Roman"/>
                <w:b/>
                <w:bCs/>
                <w:sz w:val="18"/>
                <w:szCs w:val="18"/>
              </w:rPr>
              <w:t>设备名称</w:t>
            </w:r>
          </w:p>
        </w:tc>
        <w:tc>
          <w:tcPr>
            <w:tcW w:w="822" w:type="pct"/>
            <w:tcBorders>
              <w:top w:val="single" w:color="auto" w:sz="6" w:space="0"/>
              <w:bottom w:val="single" w:color="auto" w:sz="4" w:space="0"/>
            </w:tcBorders>
            <w:vAlign w:val="center"/>
          </w:tcPr>
          <w:p w14:paraId="4705BA04">
            <w:pPr>
              <w:spacing w:line="240" w:lineRule="auto"/>
              <w:jc w:val="center"/>
              <w:rPr>
                <w:rFonts w:ascii="Times New Roman" w:hAnsi="Times New Roman" w:eastAsia="微软雅黑" w:cs="Times New Roman"/>
                <w:b/>
                <w:bCs/>
                <w:sz w:val="18"/>
                <w:szCs w:val="18"/>
              </w:rPr>
            </w:pPr>
          </w:p>
        </w:tc>
        <w:tc>
          <w:tcPr>
            <w:tcW w:w="3256" w:type="pct"/>
            <w:tcBorders>
              <w:top w:val="single" w:color="auto" w:sz="6" w:space="0"/>
              <w:bottom w:val="single" w:color="auto" w:sz="4" w:space="0"/>
            </w:tcBorders>
            <w:vAlign w:val="center"/>
          </w:tcPr>
          <w:p w14:paraId="00F81C6B">
            <w:pPr>
              <w:spacing w:line="240" w:lineRule="auto"/>
              <w:jc w:val="center"/>
              <w:rPr>
                <w:rFonts w:ascii="Times New Roman" w:hAnsi="Times New Roman" w:eastAsia="微软雅黑" w:cs="Times New Roman"/>
                <w:b/>
                <w:bCs/>
                <w:sz w:val="18"/>
                <w:szCs w:val="18"/>
              </w:rPr>
            </w:pPr>
            <w:r>
              <w:rPr>
                <w:rFonts w:ascii="Times New Roman" w:hAnsi="Times New Roman" w:eastAsia="微软雅黑" w:cs="Times New Roman"/>
                <w:b/>
                <w:bCs/>
                <w:sz w:val="18"/>
                <w:szCs w:val="18"/>
              </w:rPr>
              <w:t>简    介</w:t>
            </w:r>
          </w:p>
        </w:tc>
      </w:tr>
      <w:tr w14:paraId="5EF432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21" w:type="pct"/>
            <w:tcBorders>
              <w:top w:val="single" w:color="auto" w:sz="4" w:space="0"/>
              <w:bottom w:val="nil"/>
            </w:tcBorders>
            <w:vAlign w:val="center"/>
          </w:tcPr>
          <w:p w14:paraId="728BE055">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移液器</w:t>
            </w:r>
          </w:p>
        </w:tc>
        <w:tc>
          <w:tcPr>
            <w:tcW w:w="822" w:type="pct"/>
            <w:tcBorders>
              <w:top w:val="single" w:color="auto" w:sz="4" w:space="0"/>
              <w:bottom w:val="nil"/>
            </w:tcBorders>
            <w:vAlign w:val="center"/>
          </w:tcPr>
          <w:p w14:paraId="5B99F924">
            <w:pPr>
              <w:spacing w:line="240" w:lineRule="auto"/>
              <w:jc w:val="center"/>
              <w:rPr>
                <w:rFonts w:hint="eastAsia"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eastAsia="zh-CN"/>
              </w:rPr>
              <w:drawing>
                <wp:inline distT="0" distB="0" distL="114300" distR="114300">
                  <wp:extent cx="379730" cy="494030"/>
                  <wp:effectExtent l="0" t="0" r="1270" b="8890"/>
                  <wp:docPr id="5" name="图片 5" descr="移液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移液枪"/>
                          <pic:cNvPicPr>
                            <a:picLocks noChangeAspect="1"/>
                          </pic:cNvPicPr>
                        </pic:nvPicPr>
                        <pic:blipFill>
                          <a:blip r:embed="rId7">
                            <a:extLst>
                              <a:ext uri="{96DAC541-7B7A-43D3-8B79-37D633B846F1}">
                                <asvg:svgBlip xmlns:asvg="http://schemas.microsoft.com/office/drawing/2016/SVG/main" r:embed="rId8"/>
                              </a:ext>
                            </a:extLst>
                          </a:blip>
                          <a:srcRect l="34574" t="14811" r="34917" b="10270"/>
                          <a:stretch>
                            <a:fillRect/>
                          </a:stretch>
                        </pic:blipFill>
                        <pic:spPr>
                          <a:xfrm>
                            <a:off x="0" y="0"/>
                            <a:ext cx="379730" cy="494030"/>
                          </a:xfrm>
                          <a:prstGeom prst="rect">
                            <a:avLst/>
                          </a:prstGeom>
                        </pic:spPr>
                      </pic:pic>
                    </a:graphicData>
                  </a:graphic>
                </wp:inline>
              </w:drawing>
            </w:r>
          </w:p>
        </w:tc>
        <w:tc>
          <w:tcPr>
            <w:tcW w:w="3256" w:type="pct"/>
            <w:tcBorders>
              <w:top w:val="single" w:color="auto" w:sz="4" w:space="0"/>
              <w:bottom w:val="nil"/>
            </w:tcBorders>
            <w:vAlign w:val="center"/>
          </w:tcPr>
          <w:p w14:paraId="42CEEF5A">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吸取蛋白提取过程中的蛋白上清，减少污染物，提高蛋白定量准确度</w:t>
            </w:r>
          </w:p>
        </w:tc>
      </w:tr>
      <w:tr w14:paraId="6C8511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21" w:type="pct"/>
            <w:tcBorders>
              <w:top w:val="nil"/>
              <w:bottom w:val="nil"/>
            </w:tcBorders>
            <w:vAlign w:val="center"/>
          </w:tcPr>
          <w:p w14:paraId="118ADCD6">
            <w:pPr>
              <w:spacing w:line="240" w:lineRule="auto"/>
              <w:jc w:val="center"/>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sz w:val="18"/>
                <w:szCs w:val="18"/>
                <w:lang w:val="en-US" w:eastAsia="zh-CN"/>
              </w:rPr>
              <w:t>低吸附枪头</w:t>
            </w:r>
          </w:p>
        </w:tc>
        <w:tc>
          <w:tcPr>
            <w:tcW w:w="822" w:type="pct"/>
            <w:tcBorders>
              <w:top w:val="nil"/>
              <w:bottom w:val="nil"/>
            </w:tcBorders>
            <w:vAlign w:val="center"/>
          </w:tcPr>
          <w:p w14:paraId="4248D3EE">
            <w:pPr>
              <w:spacing w:line="240" w:lineRule="auto"/>
              <w:jc w:val="center"/>
              <w:rPr>
                <w:rFonts w:hint="eastAsia" w:ascii="Times New Roman" w:hAnsi="Times New Roman" w:eastAsia="微软雅黑" w:cs="Times New Roman"/>
                <w:sz w:val="18"/>
                <w:szCs w:val="18"/>
                <w:lang w:eastAsia="zh-CN"/>
              </w:rPr>
            </w:pPr>
            <w:r>
              <w:drawing>
                <wp:inline distT="0" distB="0" distL="114300" distR="114300">
                  <wp:extent cx="628650" cy="504825"/>
                  <wp:effectExtent l="0" t="0" r="0" b="0"/>
                  <wp:docPr id="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
                          <pic:cNvPicPr>
                            <a:picLocks noChangeAspect="1"/>
                          </pic:cNvPicPr>
                        </pic:nvPicPr>
                        <pic:blipFill>
                          <a:blip r:embed="rId9"/>
                          <a:stretch>
                            <a:fillRect/>
                          </a:stretch>
                        </pic:blipFill>
                        <pic:spPr>
                          <a:xfrm>
                            <a:off x="0" y="0"/>
                            <a:ext cx="628650" cy="504825"/>
                          </a:xfrm>
                          <a:prstGeom prst="rect">
                            <a:avLst/>
                          </a:prstGeom>
                          <a:solidFill>
                            <a:schemeClr val="bg1">
                              <a:alpha val="3000"/>
                            </a:schemeClr>
                          </a:solidFill>
                        </pic:spPr>
                      </pic:pic>
                    </a:graphicData>
                  </a:graphic>
                </wp:inline>
              </w:drawing>
            </w:r>
          </w:p>
        </w:tc>
        <w:tc>
          <w:tcPr>
            <w:tcW w:w="3256" w:type="pct"/>
            <w:tcBorders>
              <w:top w:val="nil"/>
              <w:bottom w:val="nil"/>
            </w:tcBorders>
            <w:vAlign w:val="center"/>
          </w:tcPr>
          <w:p w14:paraId="23FA2972">
            <w:pPr>
              <w:spacing w:line="240" w:lineRule="auto"/>
              <w:jc w:val="left"/>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sz w:val="18"/>
                <w:szCs w:val="18"/>
              </w:rPr>
              <w:t>用于</w:t>
            </w:r>
            <w:r>
              <w:rPr>
                <w:rFonts w:hint="eastAsia" w:ascii="Times New Roman" w:hAnsi="Times New Roman" w:eastAsia="微软雅黑" w:cs="Times New Roman"/>
                <w:sz w:val="18"/>
                <w:szCs w:val="18"/>
                <w:lang w:val="en-US" w:eastAsia="zh-CN"/>
              </w:rPr>
              <w:t>添加试剂以及吸取液体</w:t>
            </w:r>
          </w:p>
        </w:tc>
      </w:tr>
      <w:tr w14:paraId="234662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21" w:type="pct"/>
            <w:tcBorders>
              <w:top w:val="nil"/>
              <w:bottom w:val="nil"/>
            </w:tcBorders>
            <w:vAlign w:val="center"/>
          </w:tcPr>
          <w:p w14:paraId="0CEA9C7E">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恒温混匀仪</w:t>
            </w:r>
          </w:p>
        </w:tc>
        <w:tc>
          <w:tcPr>
            <w:tcW w:w="822" w:type="pct"/>
            <w:tcBorders>
              <w:top w:val="nil"/>
              <w:bottom w:val="nil"/>
            </w:tcBorders>
            <w:vAlign w:val="center"/>
          </w:tcPr>
          <w:p w14:paraId="03AE09DB">
            <w:pPr>
              <w:spacing w:line="240" w:lineRule="auto"/>
              <w:jc w:val="center"/>
              <w:rPr>
                <w:rFonts w:hint="eastAsia"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eastAsia="zh-CN"/>
              </w:rPr>
              <w:drawing>
                <wp:inline distT="0" distB="0" distL="114300" distR="114300">
                  <wp:extent cx="607060" cy="504825"/>
                  <wp:effectExtent l="0" t="0" r="2540" b="13335"/>
                  <wp:docPr id="7" name="图片 7" descr="恒温混匀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恒温混匀仪"/>
                          <pic:cNvPicPr>
                            <a:picLocks noChangeAspect="1"/>
                          </pic:cNvPicPr>
                        </pic:nvPicPr>
                        <pic:blipFill>
                          <a:blip r:embed="rId10">
                            <a:extLst>
                              <a:ext uri="{96DAC541-7B7A-43D3-8B79-37D633B846F1}">
                                <asvg:svgBlip xmlns:asvg="http://schemas.microsoft.com/office/drawing/2016/SVG/main" r:embed="rId11"/>
                              </a:ext>
                            </a:extLst>
                          </a:blip>
                          <a:srcRect l="22839" t="16378" r="32914" b="18311"/>
                          <a:stretch>
                            <a:fillRect/>
                          </a:stretch>
                        </pic:blipFill>
                        <pic:spPr>
                          <a:xfrm>
                            <a:off x="0" y="0"/>
                            <a:ext cx="607060" cy="504825"/>
                          </a:xfrm>
                          <a:prstGeom prst="rect">
                            <a:avLst/>
                          </a:prstGeom>
                        </pic:spPr>
                      </pic:pic>
                    </a:graphicData>
                  </a:graphic>
                </wp:inline>
              </w:drawing>
            </w:r>
          </w:p>
        </w:tc>
        <w:tc>
          <w:tcPr>
            <w:tcW w:w="3256" w:type="pct"/>
            <w:tcBorders>
              <w:top w:val="nil"/>
              <w:bottom w:val="nil"/>
            </w:tcBorders>
            <w:vAlign w:val="center"/>
          </w:tcPr>
          <w:p w14:paraId="04D2BBFF">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提供95℃及37℃的恒温条件，促进蛋白质的裂解与酶解</w:t>
            </w:r>
          </w:p>
        </w:tc>
      </w:tr>
      <w:tr w14:paraId="5691C0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21" w:type="pct"/>
            <w:tcBorders>
              <w:top w:val="nil"/>
              <w:bottom w:val="nil"/>
            </w:tcBorders>
            <w:vAlign w:val="center"/>
          </w:tcPr>
          <w:p w14:paraId="4E413EFE">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冷冻/常温离心机</w:t>
            </w:r>
          </w:p>
        </w:tc>
        <w:tc>
          <w:tcPr>
            <w:tcW w:w="822" w:type="pct"/>
            <w:tcBorders>
              <w:top w:val="nil"/>
              <w:bottom w:val="nil"/>
            </w:tcBorders>
            <w:vAlign w:val="center"/>
          </w:tcPr>
          <w:p w14:paraId="588B440B">
            <w:pPr>
              <w:spacing w:line="240" w:lineRule="auto"/>
              <w:jc w:val="center"/>
              <w:rPr>
                <w:rFonts w:hint="eastAsia"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eastAsia="zh-CN"/>
              </w:rPr>
              <w:drawing>
                <wp:inline distT="0" distB="0" distL="114300" distR="114300">
                  <wp:extent cx="524510" cy="720725"/>
                  <wp:effectExtent l="0" t="0" r="8890" b="10795"/>
                  <wp:docPr id="8" name="图片 8" descr="离心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离心机"/>
                          <pic:cNvPicPr>
                            <a:picLocks noChangeAspect="1"/>
                          </pic:cNvPicPr>
                        </pic:nvPicPr>
                        <pic:blipFill>
                          <a:blip r:embed="rId12">
                            <a:extLst>
                              <a:ext uri="{96DAC541-7B7A-43D3-8B79-37D633B846F1}">
                                <asvg:svgBlip xmlns:asvg="http://schemas.microsoft.com/office/drawing/2016/SVG/main" r:embed="rId13"/>
                              </a:ext>
                            </a:extLst>
                          </a:blip>
                          <a:srcRect l="12541" t="7203" r="54272" b="11780"/>
                          <a:stretch>
                            <a:fillRect/>
                          </a:stretch>
                        </pic:blipFill>
                        <pic:spPr>
                          <a:xfrm>
                            <a:off x="0" y="0"/>
                            <a:ext cx="524510" cy="720725"/>
                          </a:xfrm>
                          <a:prstGeom prst="rect">
                            <a:avLst/>
                          </a:prstGeom>
                        </pic:spPr>
                      </pic:pic>
                    </a:graphicData>
                  </a:graphic>
                </wp:inline>
              </w:drawing>
            </w:r>
          </w:p>
        </w:tc>
        <w:tc>
          <w:tcPr>
            <w:tcW w:w="3256" w:type="pct"/>
            <w:tcBorders>
              <w:top w:val="nil"/>
              <w:bottom w:val="nil"/>
            </w:tcBorders>
            <w:vAlign w:val="center"/>
          </w:tcPr>
          <w:p w14:paraId="2362D25A">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冷冻离心机用于蛋白提取，常温离心机用于肽段脱盐，适配器支持1.5/2ml离心管</w:t>
            </w:r>
          </w:p>
        </w:tc>
      </w:tr>
      <w:tr w14:paraId="16123E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8" w:hRule="atLeast"/>
          <w:jc w:val="center"/>
        </w:trPr>
        <w:tc>
          <w:tcPr>
            <w:tcW w:w="921" w:type="pct"/>
            <w:tcBorders>
              <w:top w:val="nil"/>
              <w:bottom w:val="nil"/>
            </w:tcBorders>
            <w:vAlign w:val="center"/>
          </w:tcPr>
          <w:p w14:paraId="0C91694C">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真空离心浓缩仪</w:t>
            </w:r>
          </w:p>
        </w:tc>
        <w:tc>
          <w:tcPr>
            <w:tcW w:w="822" w:type="pct"/>
            <w:tcBorders>
              <w:top w:val="nil"/>
              <w:bottom w:val="nil"/>
            </w:tcBorders>
            <w:vAlign w:val="center"/>
          </w:tcPr>
          <w:p w14:paraId="2CA8D1C5">
            <w:pPr>
              <w:spacing w:line="240" w:lineRule="auto"/>
              <w:jc w:val="left"/>
              <w:rPr>
                <w:rFonts w:ascii="Times New Roman" w:hAnsi="Times New Roman" w:eastAsia="微软雅黑" w:cs="Times New Roman"/>
                <w:sz w:val="18"/>
                <w:szCs w:val="18"/>
              </w:rPr>
            </w:pPr>
            <w:r>
              <w:rPr>
                <w:rFonts w:hint="default" w:ascii="Times New Roman" w:hAnsi="Times New Roman" w:eastAsia="微软雅黑" w:cs="Times New Roman"/>
              </w:rPr>
              <w:drawing>
                <wp:inline distT="0" distB="0" distL="114300" distR="114300">
                  <wp:extent cx="759460" cy="937895"/>
                  <wp:effectExtent l="0" t="0" r="2540" b="0"/>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pic:cNvPicPr>
                        </pic:nvPicPr>
                        <pic:blipFill>
                          <a:blip r:embed="rId14"/>
                          <a:stretch>
                            <a:fillRect/>
                          </a:stretch>
                        </pic:blipFill>
                        <pic:spPr>
                          <a:xfrm>
                            <a:off x="0" y="0"/>
                            <a:ext cx="759460" cy="937895"/>
                          </a:xfrm>
                          <a:prstGeom prst="rect">
                            <a:avLst/>
                          </a:prstGeom>
                          <a:noFill/>
                          <a:ln>
                            <a:noFill/>
                          </a:ln>
                        </pic:spPr>
                      </pic:pic>
                    </a:graphicData>
                  </a:graphic>
                </wp:inline>
              </w:drawing>
            </w:r>
          </w:p>
        </w:tc>
        <w:tc>
          <w:tcPr>
            <w:tcW w:w="3256" w:type="pct"/>
            <w:tcBorders>
              <w:top w:val="nil"/>
              <w:bottom w:val="nil"/>
            </w:tcBorders>
            <w:vAlign w:val="center"/>
          </w:tcPr>
          <w:p w14:paraId="23E5217D">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脱盐后的肽段抽干</w:t>
            </w:r>
          </w:p>
        </w:tc>
      </w:tr>
      <w:tr w14:paraId="1E477E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jc w:val="center"/>
        </w:trPr>
        <w:tc>
          <w:tcPr>
            <w:tcW w:w="921" w:type="pct"/>
            <w:tcBorders>
              <w:top w:val="nil"/>
              <w:bottom w:val="single" w:color="auto" w:sz="4" w:space="0"/>
            </w:tcBorders>
            <w:vAlign w:val="center"/>
          </w:tcPr>
          <w:p w14:paraId="51E2B5C7">
            <w:pPr>
              <w:spacing w:line="240" w:lineRule="auto"/>
              <w:jc w:val="center"/>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sz w:val="18"/>
                <w:szCs w:val="18"/>
                <w:lang w:val="en-US" w:eastAsia="zh-CN"/>
              </w:rPr>
              <w:t>超声波清洗机</w:t>
            </w:r>
          </w:p>
        </w:tc>
        <w:tc>
          <w:tcPr>
            <w:tcW w:w="822" w:type="pct"/>
            <w:tcBorders>
              <w:top w:val="nil"/>
              <w:bottom w:val="single" w:color="auto" w:sz="4" w:space="0"/>
            </w:tcBorders>
            <w:vAlign w:val="center"/>
          </w:tcPr>
          <w:p w14:paraId="1F2A93FD">
            <w:pPr>
              <w:spacing w:line="240" w:lineRule="auto"/>
              <w:jc w:val="left"/>
              <w:rPr>
                <w:rFonts w:hint="default" w:ascii="Times New Roman" w:hAnsi="Times New Roman" w:eastAsia="微软雅黑" w:cs="Times New Roman"/>
              </w:rPr>
            </w:pPr>
            <w:r>
              <w:rPr>
                <w:rFonts w:hint="default" w:ascii="Times New Roman" w:hAnsi="Times New Roman" w:cs="Times New Roman"/>
                <w:sz w:val="24"/>
                <w:szCs w:val="24"/>
                <w:lang w:val="en-US" w:eastAsia="zh-CN"/>
              </w:rPr>
              <w:drawing>
                <wp:anchor distT="0" distB="0" distL="114300" distR="114300" simplePos="0" relativeHeight="251659264" behindDoc="0" locked="0" layoutInCell="1" allowOverlap="1">
                  <wp:simplePos x="0" y="0"/>
                  <wp:positionH relativeFrom="column">
                    <wp:posOffset>78105</wp:posOffset>
                  </wp:positionH>
                  <wp:positionV relativeFrom="paragraph">
                    <wp:posOffset>104775</wp:posOffset>
                  </wp:positionV>
                  <wp:extent cx="600075" cy="572770"/>
                  <wp:effectExtent l="0" t="0" r="0" b="8255"/>
                  <wp:wrapSquare wrapText="bothSides"/>
                  <wp:docPr id="14" name="图片 1" descr="1718789514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descr="1718789514739"/>
                          <pic:cNvPicPr>
                            <a:picLocks noChangeAspect="1"/>
                          </pic:cNvPicPr>
                        </pic:nvPicPr>
                        <pic:blipFill>
                          <a:blip r:embed="rId15">
                            <a:grayscl/>
                          </a:blip>
                          <a:stretch>
                            <a:fillRect/>
                          </a:stretch>
                        </pic:blipFill>
                        <pic:spPr>
                          <a:xfrm>
                            <a:off x="0" y="0"/>
                            <a:ext cx="600075" cy="572770"/>
                          </a:xfrm>
                          <a:prstGeom prst="rect">
                            <a:avLst/>
                          </a:prstGeom>
                          <a:noFill/>
                          <a:ln>
                            <a:noFill/>
                          </a:ln>
                        </pic:spPr>
                      </pic:pic>
                    </a:graphicData>
                  </a:graphic>
                </wp:anchor>
              </w:drawing>
            </w:r>
          </w:p>
        </w:tc>
        <w:tc>
          <w:tcPr>
            <w:tcW w:w="3256" w:type="pct"/>
            <w:tcBorders>
              <w:top w:val="nil"/>
              <w:bottom w:val="single" w:color="auto" w:sz="4" w:space="0"/>
            </w:tcBorders>
            <w:vAlign w:val="center"/>
          </w:tcPr>
          <w:p w14:paraId="2908593A">
            <w:pPr>
              <w:spacing w:line="240" w:lineRule="auto"/>
              <w:jc w:val="left"/>
              <w:rPr>
                <w:rFonts w:hint="default" w:ascii="Times New Roman" w:hAnsi="Times New Roman" w:eastAsia="新宋体" w:cs="Times New Roman"/>
                <w:sz w:val="18"/>
                <w:szCs w:val="18"/>
                <w:lang w:val="en-US" w:eastAsia="zh-CN"/>
              </w:rPr>
            </w:pPr>
            <w:r>
              <w:rPr>
                <w:rFonts w:hint="eastAsia" w:ascii="Times New Roman" w:hAnsi="Times New Roman" w:eastAsia="微软雅黑" w:cs="Times New Roman"/>
                <w:sz w:val="18"/>
                <w:szCs w:val="18"/>
              </w:rPr>
              <w:t>主要用于细胞破碎</w:t>
            </w:r>
            <w:r>
              <w:rPr>
                <w:rFonts w:hint="eastAsia" w:ascii="Times New Roman" w:hAnsi="Times New Roman" w:eastAsia="微软雅黑" w:cs="Times New Roman"/>
                <w:sz w:val="18"/>
                <w:szCs w:val="18"/>
                <w:lang w:val="en-US" w:eastAsia="zh-CN"/>
              </w:rPr>
              <w:t>,使样本释放更多蛋白质</w:t>
            </w:r>
          </w:p>
        </w:tc>
      </w:tr>
    </w:tbl>
    <w:p w14:paraId="34F878AD">
      <w:pPr>
        <w:numPr>
          <w:ilvl w:val="0"/>
          <w:numId w:val="1"/>
        </w:numPr>
        <w:spacing w:line="240" w:lineRule="auto"/>
        <w:ind w:left="0" w:leftChars="0" w:firstLine="0" w:firstLineChars="0"/>
        <w:rPr>
          <w:rFonts w:ascii="Times New Roman" w:hAnsi="Times New Roman" w:eastAsia="微软雅黑" w:cs="Times New Roman"/>
          <w:b/>
          <w:bCs/>
          <w:sz w:val="21"/>
          <w:szCs w:val="21"/>
        </w:rPr>
      </w:pPr>
      <w:r>
        <w:rPr>
          <w:rFonts w:ascii="Times New Roman" w:hAnsi="Times New Roman" w:eastAsia="微软雅黑" w:cs="Times New Roman"/>
          <w:b/>
          <w:bCs/>
          <w:sz w:val="21"/>
          <w:szCs w:val="21"/>
        </w:rPr>
        <w:t>操作过程</w:t>
      </w:r>
    </w:p>
    <w:p w14:paraId="6284623A">
      <w:pPr>
        <w:numPr>
          <w:ilvl w:val="0"/>
          <w:numId w:val="2"/>
        </w:numPr>
        <w:spacing w:line="240" w:lineRule="auto"/>
        <w:rPr>
          <w:rFonts w:ascii="Times New Roman" w:hAnsi="Times New Roman" w:eastAsia="微软雅黑" w:cs="Times New Roman"/>
          <w:color w:val="000000"/>
          <w:kern w:val="0"/>
          <w:sz w:val="21"/>
          <w:szCs w:val="21"/>
          <w:lang w:bidi="ar"/>
        </w:rPr>
      </w:pPr>
      <w:r>
        <w:rPr>
          <w:rFonts w:hint="eastAsia" w:ascii="Times New Roman" w:hAnsi="Times New Roman" w:eastAsia="微软雅黑" w:cs="Times New Roman"/>
          <w:color w:val="000000"/>
          <w:kern w:val="0"/>
          <w:sz w:val="21"/>
          <w:szCs w:val="21"/>
          <w:lang w:val="en-US" w:eastAsia="zh-CN" w:bidi="ar"/>
        </w:rPr>
        <w:t>样本中加入10</w:t>
      </w:r>
      <w:r>
        <w:rPr>
          <w:rFonts w:hint="default" w:ascii="Times New Roman" w:hAnsi="Times New Roman" w:eastAsia="微软雅黑" w:cs="Times New Roman"/>
          <w:color w:val="000000"/>
          <w:kern w:val="0"/>
          <w:sz w:val="21"/>
          <w:szCs w:val="21"/>
          <w:lang w:val="en-US" w:eastAsia="zh-CN" w:bidi="ar"/>
        </w:rPr>
        <w:t>μl</w:t>
      </w:r>
      <w:r>
        <w:rPr>
          <w:rFonts w:hint="eastAsia" w:ascii="Times New Roman" w:hAnsi="Times New Roman" w:eastAsia="微软雅黑" w:cs="Times New Roman"/>
          <w:color w:val="000000"/>
          <w:kern w:val="0"/>
          <w:sz w:val="21"/>
          <w:szCs w:val="21"/>
          <w:lang w:val="en-US" w:eastAsia="zh-CN" w:bidi="ar"/>
        </w:rPr>
        <w:t>试剂</w:t>
      </w:r>
      <w:r>
        <w:rPr>
          <w:rFonts w:hint="eastAsia" w:ascii="Times New Roman" w:hAnsi="Times New Roman" w:eastAsia="微软雅黑" w:cs="Times New Roman"/>
          <w:color w:val="000000"/>
          <w:kern w:val="0"/>
          <w:sz w:val="21"/>
          <w:szCs w:val="21"/>
          <w:lang w:bidi="ar"/>
        </w:rPr>
        <w:t>A</w:t>
      </w:r>
      <w:r>
        <w:rPr>
          <w:rFonts w:hint="eastAsia" w:ascii="Times New Roman" w:hAnsi="Times New Roman" w:eastAsia="微软雅黑" w:cs="Times New Roman"/>
          <w:color w:val="000000"/>
          <w:kern w:val="0"/>
          <w:sz w:val="21"/>
          <w:szCs w:val="21"/>
          <w:lang w:eastAsia="zh-CN" w:bidi="ar"/>
        </w:rPr>
        <w:t>，</w:t>
      </w:r>
      <w:r>
        <w:rPr>
          <w:rFonts w:ascii="Times New Roman" w:hAnsi="Times New Roman" w:eastAsia="微软雅黑" w:cs="Times New Roman"/>
          <w:color w:val="000000"/>
          <w:kern w:val="0"/>
          <w:sz w:val="21"/>
          <w:szCs w:val="21"/>
          <w:lang w:bidi="ar"/>
        </w:rPr>
        <w:t>95℃加热</w:t>
      </w:r>
      <w:r>
        <w:rPr>
          <w:rFonts w:hint="eastAsia" w:ascii="Times New Roman" w:hAnsi="Times New Roman" w:eastAsia="微软雅黑" w:cs="Times New Roman"/>
          <w:color w:val="000000"/>
          <w:kern w:val="0"/>
          <w:sz w:val="21"/>
          <w:szCs w:val="21"/>
          <w:lang w:val="en-US" w:eastAsia="zh-CN" w:bidi="ar"/>
        </w:rPr>
        <w:t>40-50</w:t>
      </w:r>
      <w:r>
        <w:rPr>
          <w:rFonts w:ascii="Times New Roman" w:hAnsi="Times New Roman" w:eastAsia="微软雅黑" w:cs="Times New Roman"/>
          <w:color w:val="000000"/>
          <w:kern w:val="0"/>
          <w:sz w:val="21"/>
          <w:szCs w:val="21"/>
          <w:lang w:bidi="ar"/>
        </w:rPr>
        <w:t>min（95℃，1000rpm）</w:t>
      </w:r>
      <w:r>
        <w:rPr>
          <w:rFonts w:hint="eastAsia" w:ascii="Times New Roman" w:hAnsi="Times New Roman" w:eastAsia="微软雅黑" w:cs="Times New Roman"/>
          <w:color w:val="000000"/>
          <w:kern w:val="0"/>
          <w:sz w:val="21"/>
          <w:szCs w:val="21"/>
          <w:lang w:eastAsia="zh-CN" w:bidi="ar"/>
        </w:rPr>
        <w:t>，</w:t>
      </w:r>
      <w:r>
        <w:rPr>
          <w:rFonts w:hint="eastAsia" w:ascii="Times New Roman" w:hAnsi="Times New Roman" w:eastAsia="微软雅黑" w:cs="Times New Roman"/>
          <w:color w:val="000000"/>
          <w:kern w:val="0"/>
          <w:sz w:val="21"/>
          <w:szCs w:val="21"/>
          <w:lang w:val="en-US" w:eastAsia="zh-CN" w:bidi="ar"/>
        </w:rPr>
        <w:t>期间每隔10min取出样本瞬离一下</w:t>
      </w:r>
      <w:r>
        <w:rPr>
          <w:rFonts w:hint="eastAsia" w:ascii="Times New Roman" w:hAnsi="Times New Roman" w:eastAsia="微软雅黑" w:cs="Times New Roman"/>
          <w:b/>
          <w:bCs/>
          <w:color w:val="FF0000"/>
          <w:kern w:val="0"/>
          <w:sz w:val="21"/>
          <w:szCs w:val="21"/>
          <w:lang w:val="en-US" w:eastAsia="zh-CN" w:bidi="ar"/>
        </w:rPr>
        <w:t>（如果是细胞样本，</w:t>
      </w:r>
      <w:r>
        <w:rPr>
          <w:rFonts w:hint="default" w:ascii="Times New Roman" w:hAnsi="Times New Roman" w:eastAsia="微软雅黑" w:cs="Times New Roman"/>
          <w:b/>
          <w:bCs/>
          <w:color w:val="FF0000"/>
          <w:kern w:val="0"/>
          <w:sz w:val="21"/>
          <w:szCs w:val="21"/>
          <w:lang w:val="en-US" w:eastAsia="zh-CN" w:bidi="ar"/>
        </w:rPr>
        <w:t>95℃</w:t>
      </w:r>
      <w:r>
        <w:rPr>
          <w:rFonts w:hint="eastAsia" w:ascii="Times New Roman" w:hAnsi="Times New Roman" w:eastAsia="微软雅黑" w:cs="Times New Roman"/>
          <w:b/>
          <w:bCs/>
          <w:color w:val="FF0000"/>
          <w:kern w:val="0"/>
          <w:sz w:val="21"/>
          <w:szCs w:val="21"/>
          <w:lang w:val="en-US" w:eastAsia="zh-CN" w:bidi="ar"/>
        </w:rPr>
        <w:t>反应10-15min即可）</w:t>
      </w:r>
      <w:r>
        <w:rPr>
          <w:rFonts w:ascii="Times New Roman" w:hAnsi="Times New Roman" w:eastAsia="微软雅黑" w:cs="Times New Roman"/>
          <w:color w:val="000000"/>
          <w:kern w:val="0"/>
          <w:sz w:val="21"/>
          <w:szCs w:val="21"/>
          <w:lang w:bidi="ar"/>
        </w:rPr>
        <w:t>；</w:t>
      </w:r>
    </w:p>
    <w:p w14:paraId="5F2DEA05">
      <w:pPr>
        <w:numPr>
          <w:ilvl w:val="0"/>
          <w:numId w:val="2"/>
        </w:numPr>
        <w:spacing w:line="240" w:lineRule="auto"/>
        <w:rPr>
          <w:rFonts w:ascii="Times New Roman" w:hAnsi="Times New Roman" w:eastAsia="微软雅黑" w:cs="Times New Roman"/>
          <w:color w:val="000000"/>
          <w:kern w:val="0"/>
          <w:sz w:val="21"/>
          <w:szCs w:val="21"/>
          <w:lang w:bidi="ar"/>
        </w:rPr>
      </w:pPr>
      <w:r>
        <w:rPr>
          <w:rFonts w:ascii="Times New Roman" w:hAnsi="Times New Roman" w:eastAsia="微软雅黑" w:cs="Times New Roman"/>
          <w:color w:val="000000"/>
          <w:kern w:val="0"/>
          <w:sz w:val="21"/>
          <w:szCs w:val="21"/>
          <w:lang w:bidi="ar"/>
        </w:rPr>
        <w:t>加热结束待样品恢复至室温后</w:t>
      </w:r>
      <w:r>
        <w:rPr>
          <w:rFonts w:hint="eastAsia" w:ascii="Times New Roman" w:hAnsi="Times New Roman" w:eastAsia="微软雅黑" w:cs="Times New Roman"/>
          <w:color w:val="000000"/>
          <w:kern w:val="0"/>
          <w:sz w:val="21"/>
          <w:szCs w:val="21"/>
          <w:lang w:eastAsia="zh-CN" w:bidi="ar"/>
        </w:rPr>
        <w:t>，</w:t>
      </w:r>
      <w:r>
        <w:rPr>
          <w:rFonts w:hint="eastAsia" w:ascii="Times New Roman" w:hAnsi="Times New Roman" w:eastAsia="微软雅黑" w:cs="Times New Roman"/>
          <w:color w:val="000000"/>
          <w:kern w:val="0"/>
          <w:sz w:val="21"/>
          <w:szCs w:val="21"/>
          <w:lang w:val="en-US" w:eastAsia="zh-CN" w:bidi="ar"/>
        </w:rPr>
        <w:t>将样本瞬时离心，然后将样本管盖打开，继续放到95℃的混匀仪上放置30S-1min，即样本体积在</w:t>
      </w:r>
      <w:r>
        <w:rPr>
          <w:rFonts w:hint="default" w:ascii="Times New Roman" w:hAnsi="Times New Roman" w:eastAsia="微软雅黑" w:cs="Times New Roman"/>
          <w:color w:val="000000"/>
          <w:kern w:val="0"/>
          <w:sz w:val="21"/>
          <w:szCs w:val="21"/>
          <w:lang w:val="en-US" w:eastAsia="zh-CN" w:bidi="ar"/>
        </w:rPr>
        <w:t>5μl</w:t>
      </w:r>
      <w:r>
        <w:rPr>
          <w:rFonts w:hint="eastAsia" w:ascii="Times New Roman" w:hAnsi="Times New Roman" w:eastAsia="微软雅黑" w:cs="Times New Roman"/>
          <w:color w:val="000000"/>
          <w:kern w:val="0"/>
          <w:sz w:val="21"/>
          <w:szCs w:val="21"/>
          <w:lang w:val="en-US" w:eastAsia="zh-CN" w:bidi="ar"/>
        </w:rPr>
        <w:t>左右即可，然后冰浴超声40min（超声波清洗机超声即可）</w:t>
      </w:r>
      <w:r>
        <w:rPr>
          <w:rFonts w:hint="eastAsia" w:ascii="Times New Roman" w:hAnsi="Times New Roman" w:eastAsia="微软雅黑" w:cs="Times New Roman"/>
          <w:color w:val="FF0000"/>
          <w:kern w:val="0"/>
          <w:sz w:val="21"/>
          <w:szCs w:val="21"/>
          <w:lang w:val="en-US" w:eastAsia="zh-CN" w:bidi="ar"/>
        </w:rPr>
        <w:t>（</w:t>
      </w:r>
      <w:r>
        <w:rPr>
          <w:rFonts w:hint="eastAsia" w:ascii="Times New Roman" w:hAnsi="Times New Roman" w:eastAsia="微软雅黑" w:cs="Times New Roman"/>
          <w:b/>
          <w:bCs/>
          <w:color w:val="FF0000"/>
          <w:kern w:val="0"/>
          <w:sz w:val="21"/>
          <w:szCs w:val="21"/>
          <w:lang w:val="en-US" w:eastAsia="zh-CN" w:bidi="ar"/>
        </w:rPr>
        <w:t>如果是细胞样本，水浴超声10-15min即可</w:t>
      </w:r>
      <w:r>
        <w:rPr>
          <w:rFonts w:hint="eastAsia" w:ascii="Times New Roman" w:hAnsi="Times New Roman" w:eastAsia="微软雅黑" w:cs="Times New Roman"/>
          <w:color w:val="FF0000"/>
          <w:kern w:val="0"/>
          <w:sz w:val="21"/>
          <w:szCs w:val="21"/>
          <w:lang w:val="en-US" w:eastAsia="zh-CN" w:bidi="ar"/>
        </w:rPr>
        <w:t>）</w:t>
      </w:r>
      <w:r>
        <w:rPr>
          <w:rFonts w:hint="eastAsia" w:ascii="Times New Roman" w:hAnsi="Times New Roman" w:eastAsia="微软雅黑" w:cs="Times New Roman"/>
          <w:color w:val="000000"/>
          <w:kern w:val="0"/>
          <w:sz w:val="21"/>
          <w:szCs w:val="21"/>
          <w:lang w:val="en-US" w:eastAsia="zh-CN" w:bidi="ar"/>
        </w:rPr>
        <w:t>；</w:t>
      </w:r>
    </w:p>
    <w:p w14:paraId="3BB2D188">
      <w:pPr>
        <w:numPr>
          <w:ilvl w:val="0"/>
          <w:numId w:val="2"/>
        </w:numPr>
        <w:spacing w:line="240" w:lineRule="auto"/>
        <w:ind w:left="0" w:leftChars="0" w:firstLine="0" w:firstLineChars="0"/>
        <w:rPr>
          <w:rFonts w:ascii="Times New Roman" w:hAnsi="Times New Roman" w:eastAsia="微软雅黑" w:cs="Times New Roman"/>
          <w:color w:val="000000"/>
          <w:kern w:val="0"/>
          <w:sz w:val="21"/>
          <w:szCs w:val="21"/>
          <w:lang w:bidi="ar"/>
        </w:rPr>
      </w:pPr>
      <w:r>
        <w:rPr>
          <w:rFonts w:hint="eastAsia" w:ascii="Times New Roman" w:hAnsi="Times New Roman" w:eastAsia="微软雅黑" w:cs="Times New Roman"/>
          <w:color w:val="000000"/>
          <w:kern w:val="0"/>
          <w:sz w:val="21"/>
          <w:szCs w:val="21"/>
          <w:lang w:val="en-US" w:eastAsia="zh-CN" w:bidi="ar"/>
        </w:rPr>
        <w:t>超声结束后</w:t>
      </w:r>
      <w:r>
        <w:rPr>
          <w:rFonts w:ascii="Times New Roman" w:hAnsi="Times New Roman" w:eastAsia="微软雅黑" w:cs="Times New Roman"/>
          <w:color w:val="000000"/>
          <w:kern w:val="0"/>
          <w:sz w:val="21"/>
          <w:szCs w:val="21"/>
          <w:lang w:bidi="ar"/>
        </w:rPr>
        <w:t>加入</w:t>
      </w:r>
      <w:r>
        <w:rPr>
          <w:rFonts w:hint="eastAsia" w:ascii="Times New Roman" w:hAnsi="Times New Roman" w:eastAsia="微软雅黑" w:cs="Times New Roman"/>
          <w:color w:val="000000"/>
          <w:kern w:val="0"/>
          <w:sz w:val="21"/>
          <w:szCs w:val="21"/>
          <w:lang w:val="en-US" w:eastAsia="zh-CN" w:bidi="ar"/>
        </w:rPr>
        <w:t>1</w:t>
      </w:r>
      <w:r>
        <w:rPr>
          <w:rFonts w:hint="eastAsia" w:ascii="Times New Roman" w:hAnsi="Times New Roman" w:eastAsia="微软雅黑" w:cs="Times New Roman"/>
          <w:color w:val="000000"/>
          <w:kern w:val="0"/>
          <w:sz w:val="21"/>
          <w:szCs w:val="21"/>
          <w:lang w:bidi="ar"/>
        </w:rPr>
        <w:t xml:space="preserve"> </w:t>
      </w:r>
      <w:r>
        <w:rPr>
          <w:rFonts w:ascii="Times New Roman" w:hAnsi="Times New Roman" w:eastAsia="微软雅黑" w:cs="Times New Roman"/>
          <w:color w:val="000000"/>
          <w:kern w:val="0"/>
          <w:sz w:val="21"/>
          <w:szCs w:val="21"/>
          <w:lang w:bidi="ar"/>
        </w:rPr>
        <w:t>μl试剂</w:t>
      </w:r>
      <w:r>
        <w:rPr>
          <w:rFonts w:hint="eastAsia" w:ascii="Times New Roman" w:hAnsi="Times New Roman" w:eastAsia="微软雅黑" w:cs="Times New Roman"/>
          <w:color w:val="000000"/>
          <w:kern w:val="0"/>
          <w:sz w:val="21"/>
          <w:szCs w:val="21"/>
          <w:lang w:val="en-US" w:eastAsia="zh-CN" w:bidi="ar"/>
        </w:rPr>
        <w:t>B（需混匀后取1</w:t>
      </w:r>
      <w:r>
        <w:rPr>
          <w:rFonts w:hint="default" w:ascii="Times New Roman" w:hAnsi="Times New Roman" w:eastAsia="微软雅黑" w:cs="Times New Roman"/>
          <w:color w:val="000000"/>
          <w:kern w:val="0"/>
          <w:sz w:val="21"/>
          <w:szCs w:val="21"/>
          <w:lang w:val="en-US" w:eastAsia="zh-CN" w:bidi="ar"/>
        </w:rPr>
        <w:t>μ</w:t>
      </w:r>
      <w:r>
        <w:rPr>
          <w:rFonts w:hint="eastAsia" w:ascii="Times New Roman" w:hAnsi="Times New Roman" w:eastAsia="微软雅黑" w:cs="Times New Roman"/>
          <w:color w:val="000000"/>
          <w:kern w:val="0"/>
          <w:sz w:val="21"/>
          <w:szCs w:val="21"/>
          <w:lang w:val="en-US" w:eastAsia="zh-CN" w:bidi="ar"/>
        </w:rPr>
        <w:t>l加入样本中）</w:t>
      </w:r>
      <w:r>
        <w:rPr>
          <w:rFonts w:ascii="Times New Roman" w:hAnsi="Times New Roman" w:eastAsia="微软雅黑" w:cs="Times New Roman"/>
          <w:color w:val="000000"/>
          <w:kern w:val="0"/>
          <w:sz w:val="21"/>
          <w:szCs w:val="21"/>
          <w:lang w:bidi="ar"/>
        </w:rPr>
        <w:t>，混匀，37℃酶解</w:t>
      </w:r>
      <w:r>
        <w:rPr>
          <w:rFonts w:hint="eastAsia" w:ascii="Times New Roman" w:hAnsi="Times New Roman" w:eastAsia="微软雅黑" w:cs="Times New Roman"/>
          <w:color w:val="000000"/>
          <w:kern w:val="0"/>
          <w:sz w:val="21"/>
          <w:szCs w:val="21"/>
          <w:lang w:val="en-US" w:eastAsia="zh-CN" w:bidi="ar"/>
        </w:rPr>
        <w:t>10min</w:t>
      </w:r>
      <w:r>
        <w:rPr>
          <w:rFonts w:ascii="Times New Roman" w:hAnsi="Times New Roman" w:eastAsia="微软雅黑" w:cs="Times New Roman"/>
          <w:color w:val="000000"/>
          <w:kern w:val="0"/>
          <w:sz w:val="21"/>
          <w:szCs w:val="21"/>
          <w:lang w:bidi="ar"/>
        </w:rPr>
        <w:t>（</w:t>
      </w:r>
      <w:r>
        <w:rPr>
          <w:rFonts w:hint="eastAsia" w:ascii="Times New Roman" w:hAnsi="Times New Roman" w:eastAsia="微软雅黑" w:cs="Times New Roman"/>
          <w:color w:val="000000"/>
          <w:kern w:val="0"/>
          <w:sz w:val="21"/>
          <w:szCs w:val="21"/>
          <w:lang w:val="en-US" w:eastAsia="zh-CN" w:bidi="ar"/>
        </w:rPr>
        <w:t>37</w:t>
      </w:r>
      <w:r>
        <w:rPr>
          <w:rFonts w:ascii="Times New Roman" w:hAnsi="Times New Roman" w:eastAsia="微软雅黑" w:cs="Times New Roman"/>
          <w:color w:val="000000"/>
          <w:kern w:val="0"/>
          <w:sz w:val="21"/>
          <w:szCs w:val="21"/>
          <w:lang w:bidi="ar"/>
        </w:rPr>
        <w:t>℃，1000rpm）；</w:t>
      </w:r>
    </w:p>
    <w:p w14:paraId="4A144E9B">
      <w:pPr>
        <w:numPr>
          <w:ilvl w:val="0"/>
          <w:numId w:val="2"/>
        </w:numPr>
        <w:spacing w:line="240" w:lineRule="auto"/>
        <w:ind w:left="0" w:leftChars="0" w:firstLine="0" w:firstLineChars="0"/>
        <w:rPr>
          <w:rFonts w:hint="eastAsia" w:ascii="Times New Roman" w:hAnsi="Times New Roman" w:eastAsia="微软雅黑" w:cs="Times New Roman"/>
          <w:b/>
          <w:bCs/>
          <w:color w:val="auto"/>
          <w:kern w:val="0"/>
          <w:sz w:val="21"/>
          <w:szCs w:val="21"/>
          <w:lang w:eastAsia="zh-CN" w:bidi="ar"/>
        </w:rPr>
      </w:pPr>
      <w:r>
        <w:rPr>
          <w:rFonts w:hint="eastAsia" w:ascii="Times New Roman" w:hAnsi="Times New Roman" w:eastAsia="微软雅黑" w:cs="Times New Roman"/>
          <w:color w:val="000000"/>
          <w:kern w:val="0"/>
          <w:sz w:val="21"/>
          <w:szCs w:val="21"/>
          <w:lang w:val="en-US" w:eastAsia="zh-CN" w:bidi="ar"/>
        </w:rPr>
        <w:t>酶解结束</w:t>
      </w:r>
      <w:r>
        <w:rPr>
          <w:rFonts w:ascii="Times New Roman" w:hAnsi="Times New Roman" w:eastAsia="微软雅黑" w:cs="Times New Roman"/>
          <w:color w:val="000000"/>
          <w:kern w:val="0"/>
          <w:sz w:val="21"/>
          <w:szCs w:val="21"/>
          <w:lang w:bidi="ar"/>
        </w:rPr>
        <w:t>后加入</w:t>
      </w:r>
      <w:r>
        <w:rPr>
          <w:rFonts w:hint="eastAsia" w:ascii="Times New Roman" w:hAnsi="Times New Roman" w:eastAsia="微软雅黑" w:cs="Times New Roman"/>
          <w:color w:val="000000"/>
          <w:kern w:val="0"/>
          <w:sz w:val="21"/>
          <w:szCs w:val="21"/>
          <w:lang w:val="en-US" w:eastAsia="zh-CN" w:bidi="ar"/>
        </w:rPr>
        <w:t>10</w:t>
      </w:r>
      <w:r>
        <w:rPr>
          <w:rFonts w:hint="eastAsia" w:ascii="Times New Roman" w:hAnsi="Times New Roman" w:eastAsia="微软雅黑" w:cs="Times New Roman"/>
          <w:color w:val="000000"/>
          <w:kern w:val="0"/>
          <w:sz w:val="21"/>
          <w:szCs w:val="21"/>
          <w:lang w:bidi="ar"/>
        </w:rPr>
        <w:t xml:space="preserve"> </w:t>
      </w:r>
      <w:r>
        <w:rPr>
          <w:rFonts w:ascii="Times New Roman" w:hAnsi="Times New Roman" w:eastAsia="微软雅黑" w:cs="Times New Roman"/>
          <w:color w:val="000000"/>
          <w:kern w:val="0"/>
          <w:sz w:val="21"/>
          <w:szCs w:val="21"/>
          <w:lang w:bidi="ar"/>
        </w:rPr>
        <w:t>μl试剂</w:t>
      </w:r>
      <w:r>
        <w:rPr>
          <w:rFonts w:hint="eastAsia" w:ascii="Times New Roman" w:hAnsi="Times New Roman" w:eastAsia="微软雅黑" w:cs="Times New Roman"/>
          <w:color w:val="000000"/>
          <w:kern w:val="0"/>
          <w:sz w:val="21"/>
          <w:szCs w:val="21"/>
          <w:lang w:val="en-US" w:eastAsia="zh-CN" w:bidi="ar"/>
        </w:rPr>
        <w:t>C</w:t>
      </w:r>
      <w:r>
        <w:rPr>
          <w:rFonts w:ascii="Times New Roman" w:hAnsi="Times New Roman" w:eastAsia="微软雅黑" w:cs="Times New Roman"/>
          <w:color w:val="000000"/>
          <w:kern w:val="0"/>
          <w:sz w:val="21"/>
          <w:szCs w:val="21"/>
          <w:lang w:bidi="ar"/>
        </w:rPr>
        <w:t>，混匀，终止酶解反应，此时会有沉淀出现，20000g离心</w:t>
      </w:r>
      <w:r>
        <w:rPr>
          <w:rFonts w:hint="eastAsia" w:ascii="Times New Roman" w:hAnsi="Times New Roman" w:eastAsia="微软雅黑" w:cs="Times New Roman"/>
          <w:color w:val="000000"/>
          <w:kern w:val="0"/>
          <w:sz w:val="21"/>
          <w:szCs w:val="21"/>
          <w:lang w:val="en-US" w:eastAsia="zh-CN" w:bidi="ar"/>
        </w:rPr>
        <w:t>20</w:t>
      </w:r>
      <w:r>
        <w:rPr>
          <w:rFonts w:ascii="Times New Roman" w:hAnsi="Times New Roman" w:eastAsia="微软雅黑" w:cs="Times New Roman"/>
          <w:color w:val="000000"/>
          <w:kern w:val="0"/>
          <w:sz w:val="21"/>
          <w:szCs w:val="21"/>
          <w:lang w:bidi="ar"/>
        </w:rPr>
        <w:t>min</w:t>
      </w:r>
      <w:r>
        <w:rPr>
          <w:rFonts w:hint="eastAsia" w:ascii="Times New Roman" w:hAnsi="Times New Roman" w:eastAsia="微软雅黑" w:cs="Times New Roman"/>
          <w:color w:val="000000"/>
          <w:kern w:val="0"/>
          <w:sz w:val="21"/>
          <w:szCs w:val="21"/>
          <w:lang w:bidi="ar"/>
        </w:rPr>
        <w:t>后</w:t>
      </w:r>
      <w:r>
        <w:rPr>
          <w:rFonts w:ascii="Times New Roman" w:hAnsi="Times New Roman" w:eastAsia="微软雅黑" w:cs="Times New Roman"/>
          <w:color w:val="000000"/>
          <w:kern w:val="0"/>
          <w:sz w:val="21"/>
          <w:szCs w:val="21"/>
          <w:lang w:bidi="ar"/>
        </w:rPr>
        <w:t>吸取上清</w:t>
      </w:r>
      <w:r>
        <w:rPr>
          <w:rFonts w:hint="eastAsia" w:ascii="Times New Roman" w:hAnsi="Times New Roman" w:eastAsia="微软雅黑" w:cs="Times New Roman"/>
          <w:color w:val="000000"/>
          <w:kern w:val="0"/>
          <w:sz w:val="21"/>
          <w:szCs w:val="21"/>
          <w:lang w:eastAsia="zh-CN" w:bidi="ar"/>
        </w:rPr>
        <w:t>；</w:t>
      </w:r>
      <w:r>
        <w:rPr>
          <w:rFonts w:hint="eastAsia" w:ascii="Times New Roman" w:hAnsi="Times New Roman" w:eastAsia="微软雅黑" w:cs="Times New Roman"/>
          <w:b/>
          <w:bCs/>
          <w:color w:val="FF0000"/>
          <w:kern w:val="0"/>
          <w:sz w:val="21"/>
          <w:szCs w:val="21"/>
          <w:lang w:eastAsia="zh-CN" w:bidi="ar"/>
        </w:rPr>
        <w:t>（</w:t>
      </w:r>
      <w:r>
        <w:rPr>
          <w:rFonts w:hint="eastAsia" w:ascii="Times New Roman" w:hAnsi="Times New Roman" w:eastAsia="微软雅黑" w:cs="Times New Roman"/>
          <w:b/>
          <w:bCs/>
          <w:color w:val="FF0000"/>
          <w:kern w:val="0"/>
          <w:sz w:val="21"/>
          <w:szCs w:val="21"/>
          <w:lang w:val="en-US" w:eastAsia="zh-CN" w:bidi="ar"/>
        </w:rPr>
        <w:t>除盐步骤可选，如果要除盐建议选用Thermofisher的Pierce</w:t>
      </w:r>
      <w:r>
        <w:rPr>
          <w:rFonts w:hint="eastAsia" w:ascii="Times New Roman" w:hAnsi="Times New Roman" w:eastAsia="微软雅黑" w:cs="Times New Roman"/>
          <w:b/>
          <w:bCs/>
          <w:color w:val="FF0000"/>
          <w:kern w:val="0"/>
          <w:sz w:val="21"/>
          <w:szCs w:val="21"/>
          <w:vertAlign w:val="superscript"/>
          <w:lang w:val="en-US" w:eastAsia="zh-CN" w:bidi="ar"/>
        </w:rPr>
        <w:t>TM</w:t>
      </w:r>
      <w:r>
        <w:rPr>
          <w:rFonts w:hint="eastAsia" w:ascii="Times New Roman" w:hAnsi="Times New Roman" w:eastAsia="微软雅黑" w:cs="Times New Roman"/>
          <w:b/>
          <w:bCs/>
          <w:color w:val="FF0000"/>
          <w:kern w:val="0"/>
          <w:sz w:val="21"/>
          <w:szCs w:val="21"/>
          <w:lang w:val="en-US" w:eastAsia="zh-CN" w:bidi="ar"/>
        </w:rPr>
        <w:t xml:space="preserve"> C18 Spin Tips，货号84850</w:t>
      </w:r>
      <w:r>
        <w:rPr>
          <w:rFonts w:hint="eastAsia" w:ascii="Times New Roman" w:hAnsi="Times New Roman" w:eastAsia="微软雅黑" w:cs="Times New Roman"/>
          <w:b/>
          <w:bCs/>
          <w:color w:val="FF0000"/>
          <w:kern w:val="0"/>
          <w:sz w:val="21"/>
          <w:szCs w:val="21"/>
          <w:lang w:eastAsia="zh-CN" w:bidi="ar"/>
        </w:rPr>
        <w:t>）</w:t>
      </w:r>
    </w:p>
    <w:p w14:paraId="21BCAF67">
      <w:pPr>
        <w:numPr>
          <w:ilvl w:val="0"/>
          <w:numId w:val="2"/>
        </w:numPr>
        <w:spacing w:line="240" w:lineRule="auto"/>
        <w:ind w:left="0" w:leftChars="0" w:firstLine="0" w:firstLineChars="0"/>
        <w:rPr>
          <w:rFonts w:ascii="Times New Roman" w:hAnsi="Times New Roman" w:eastAsia="微软雅黑" w:cs="Times New Roman"/>
          <w:color w:val="000000"/>
          <w:kern w:val="0"/>
          <w:sz w:val="21"/>
          <w:szCs w:val="21"/>
          <w:lang w:bidi="ar"/>
        </w:rPr>
      </w:pPr>
      <w:r>
        <w:rPr>
          <w:rFonts w:ascii="Times New Roman" w:hAnsi="Times New Roman" w:eastAsia="微软雅黑" w:cs="Times New Roman"/>
          <w:color w:val="000000"/>
          <w:kern w:val="0"/>
          <w:sz w:val="21"/>
          <w:szCs w:val="21"/>
          <w:lang w:bidi="ar"/>
        </w:rPr>
        <w:t>真空冷冻离心浓缩仪浓缩样本。</w:t>
      </w:r>
    </w:p>
    <w:p w14:paraId="3E5796BA">
      <w:pPr>
        <w:spacing w:line="240" w:lineRule="auto"/>
        <w:rPr>
          <w:rFonts w:hint="default" w:ascii="Times New Roman" w:hAnsi="Times New Roman" w:eastAsia="微软雅黑" w:cs="Times New Roman"/>
          <w:color w:val="000000"/>
          <w:kern w:val="0"/>
          <w:sz w:val="21"/>
          <w:szCs w:val="21"/>
          <w:lang w:val="en-US" w:eastAsia="zh-CN" w:bidi="ar"/>
        </w:rPr>
      </w:pPr>
      <w:r>
        <w:rPr>
          <w:rFonts w:hint="eastAsia" w:ascii="Times New Roman" w:hAnsi="Times New Roman" w:eastAsia="微软雅黑" w:cs="Times New Roman"/>
          <w:color w:val="000000"/>
          <w:kern w:val="0"/>
          <w:sz w:val="21"/>
          <w:szCs w:val="21"/>
          <w:lang w:val="en-US" w:eastAsia="zh-CN" w:bidi="ar"/>
        </w:rPr>
        <w:t>e. 抽干后的样本用适量的质谱上样buffer重悬，高速离心后装入进样瓶。</w:t>
      </w:r>
    </w:p>
    <w:p w14:paraId="0A4B32A6">
      <w:pPr>
        <w:spacing w:line="240" w:lineRule="auto"/>
        <w:rPr>
          <w:rFonts w:ascii="Times New Roman" w:hAnsi="Times New Roman" w:eastAsia="微软雅黑" w:cs="Times New Roman"/>
          <w:b/>
          <w:bCs/>
          <w:sz w:val="21"/>
          <w:szCs w:val="21"/>
        </w:rPr>
      </w:pPr>
      <w:r>
        <w:rPr>
          <w:rFonts w:hint="eastAsia" w:ascii="Times New Roman" w:hAnsi="Times New Roman" w:eastAsia="微软雅黑" w:cs="Times New Roman"/>
          <w:b/>
          <w:bCs/>
          <w:sz w:val="21"/>
          <w:szCs w:val="21"/>
          <w:lang w:val="en-US" w:eastAsia="zh-CN"/>
        </w:rPr>
        <w:t>5</w:t>
      </w:r>
      <w:r>
        <w:rPr>
          <w:rFonts w:ascii="Times New Roman" w:hAnsi="Times New Roman" w:eastAsia="微软雅黑" w:cs="Times New Roman"/>
          <w:b/>
          <w:bCs/>
          <w:sz w:val="21"/>
          <w:szCs w:val="21"/>
        </w:rPr>
        <w:t>. 注意事项</w:t>
      </w:r>
    </w:p>
    <w:p w14:paraId="31FF106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hint="eastAsia" w:ascii="Times New Roman" w:hAnsi="Times New Roman" w:eastAsia="微软雅黑" w:cs="Times New Roman"/>
          <w:color w:val="000000"/>
          <w:kern w:val="0"/>
          <w:sz w:val="18"/>
          <w:szCs w:val="18"/>
          <w:lang w:val="en-US" w:eastAsia="zh-CN" w:bidi="ar"/>
        </w:rPr>
        <w:t>试剂A低温下会析出，建议使用前置于水浴锅中（56</w:t>
      </w:r>
      <w:r>
        <w:rPr>
          <w:rFonts w:hint="default" w:ascii="Times New Roman" w:hAnsi="Times New Roman" w:eastAsia="微软雅黑" w:cs="Times New Roman"/>
          <w:color w:val="000000"/>
          <w:kern w:val="0"/>
          <w:sz w:val="18"/>
          <w:szCs w:val="18"/>
          <w:lang w:val="en-US" w:eastAsia="zh-CN" w:bidi="ar"/>
        </w:rPr>
        <w:t>℃</w:t>
      </w:r>
      <w:r>
        <w:rPr>
          <w:rFonts w:hint="eastAsia" w:ascii="Times New Roman" w:hAnsi="Times New Roman" w:eastAsia="微软雅黑" w:cs="Times New Roman"/>
          <w:color w:val="000000"/>
          <w:kern w:val="0"/>
          <w:sz w:val="18"/>
          <w:szCs w:val="18"/>
          <w:lang w:val="en-US" w:eastAsia="zh-CN" w:bidi="ar"/>
        </w:rPr>
        <w:t>）放置10min，待结晶重新溶解后混合均匀使用；</w:t>
      </w:r>
    </w:p>
    <w:p w14:paraId="246EF64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hint="eastAsia" w:ascii="Times New Roman" w:hAnsi="Times New Roman" w:eastAsia="微软雅黑" w:cs="Times New Roman"/>
          <w:color w:val="000000"/>
          <w:kern w:val="0"/>
          <w:sz w:val="18"/>
          <w:szCs w:val="18"/>
          <w:lang w:val="en-US" w:eastAsia="zh-CN" w:bidi="ar"/>
        </w:rPr>
        <w:t>试剂B需要混匀后再用，并且使用过程中也要多混匀几次，否则会影响实验效果。</w:t>
      </w:r>
    </w:p>
    <w:p w14:paraId="520DC89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使用低吸附离心管，最大限度的提高样本回收率；</w:t>
      </w:r>
    </w:p>
    <w:p w14:paraId="0E2B8E5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酶解结束后加入试剂</w:t>
      </w:r>
      <w:r>
        <w:rPr>
          <w:rFonts w:hint="eastAsia" w:ascii="Times New Roman" w:hAnsi="Times New Roman" w:eastAsia="微软雅黑" w:cs="Times New Roman"/>
          <w:color w:val="000000"/>
          <w:kern w:val="0"/>
          <w:sz w:val="18"/>
          <w:szCs w:val="18"/>
          <w:lang w:val="en-US" w:eastAsia="zh-CN" w:bidi="ar"/>
        </w:rPr>
        <w:t>C</w:t>
      </w:r>
      <w:r>
        <w:rPr>
          <w:rFonts w:ascii="Times New Roman" w:hAnsi="Times New Roman" w:eastAsia="微软雅黑" w:cs="Times New Roman"/>
          <w:color w:val="000000"/>
          <w:kern w:val="0"/>
          <w:sz w:val="18"/>
          <w:szCs w:val="18"/>
          <w:lang w:bidi="ar"/>
        </w:rPr>
        <w:t>有大量沉淀出现属于正常情况，高速离心后即可进行后续实验；</w:t>
      </w:r>
    </w:p>
    <w:p w14:paraId="630D6D6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样本比较难消化酶解时可适当加长酶解时间；</w:t>
      </w:r>
    </w:p>
    <w:p w14:paraId="631808F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hanging="420"/>
        <w:jc w:val="left"/>
        <w:textAlignment w:val="auto"/>
        <w:rPr>
          <w:rFonts w:hint="default"/>
          <w:sz w:val="18"/>
          <w:szCs w:val="18"/>
          <w:lang w:val="en-US" w:eastAsia="zh-CN"/>
        </w:rPr>
      </w:pPr>
      <w:r>
        <w:rPr>
          <w:rFonts w:ascii="Times New Roman" w:hAnsi="Times New Roman" w:eastAsia="微软雅黑" w:cs="Times New Roman"/>
          <w:color w:val="000000"/>
          <w:kern w:val="0"/>
          <w:sz w:val="18"/>
          <w:szCs w:val="18"/>
          <w:lang w:bidi="ar"/>
        </w:rPr>
        <w:t>避免样品污染及皮肤直接接触试剂，实验时戴好手套、口罩。</w:t>
      </w: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071"/>
        <w:gridCol w:w="2451"/>
      </w:tblGrid>
      <w:tr w14:paraId="55CC53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6" w:hRule="atLeast"/>
        </w:trPr>
        <w:tc>
          <w:tcPr>
            <w:tcW w:w="6071" w:type="dxa"/>
          </w:tcPr>
          <w:p w14:paraId="4984AD03">
            <w:pPr>
              <w:keepNext w:val="0"/>
              <w:keepLines w:val="0"/>
              <w:pageBreakBefore w:val="0"/>
              <w:widowControl/>
              <w:numPr>
                <w:ilvl w:val="0"/>
                <w:numId w:val="0"/>
              </w:numPr>
              <w:kinsoku/>
              <w:wordWrap/>
              <w:overflowPunct/>
              <w:topLinePunct w:val="0"/>
              <w:autoSpaceDE/>
              <w:autoSpaceDN/>
              <w:bidi w:val="0"/>
              <w:adjustRightInd/>
              <w:snapToGrid/>
              <w:spacing w:line="360" w:lineRule="auto"/>
              <w:jc w:val="right"/>
              <w:textAlignment w:val="auto"/>
              <w:rPr>
                <w:rFonts w:hint="default"/>
                <w:sz w:val="18"/>
                <w:szCs w:val="18"/>
                <w:vertAlign w:val="baseline"/>
                <w:lang w:val="en-US" w:eastAsia="zh-CN"/>
              </w:rPr>
            </w:pPr>
            <w:r>
              <w:rPr>
                <w:rFonts w:hint="default"/>
                <w:sz w:val="18"/>
                <w:szCs w:val="18"/>
                <w:vertAlign w:val="baseline"/>
                <w:lang w:val="en-US" w:eastAsia="zh-CN"/>
              </w:rPr>
              <w:drawing>
                <wp:inline distT="0" distB="0" distL="114300" distR="114300">
                  <wp:extent cx="666115" cy="666115"/>
                  <wp:effectExtent l="0" t="0" r="6985" b="6985"/>
                  <wp:docPr id="2" name="图片 2" descr="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ode"/>
                          <pic:cNvPicPr>
                            <a:picLocks noChangeAspect="1"/>
                          </pic:cNvPicPr>
                        </pic:nvPicPr>
                        <pic:blipFill>
                          <a:blip r:embed="rId16"/>
                          <a:stretch>
                            <a:fillRect/>
                          </a:stretch>
                        </pic:blipFill>
                        <pic:spPr>
                          <a:xfrm>
                            <a:off x="0" y="0"/>
                            <a:ext cx="666115" cy="666115"/>
                          </a:xfrm>
                          <a:prstGeom prst="rect">
                            <a:avLst/>
                          </a:prstGeom>
                        </pic:spPr>
                      </pic:pic>
                    </a:graphicData>
                  </a:graphic>
                </wp:inline>
              </w:drawing>
            </w:r>
          </w:p>
        </w:tc>
        <w:tc>
          <w:tcPr>
            <w:tcW w:w="2451" w:type="dxa"/>
            <w:vAlign w:val="center"/>
          </w:tcPr>
          <w:p w14:paraId="6AEFC74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left"/>
              <w:rPr>
                <w:rFonts w:hint="default" w:ascii="Times New Roman" w:hAnsi="Times New Roman" w:eastAsia="微软雅黑" w:cs="Times New Roman"/>
                <w:sz w:val="15"/>
                <w:szCs w:val="15"/>
              </w:rPr>
            </w:pPr>
            <w:r>
              <w:rPr>
                <w:rFonts w:hint="default" w:ascii="Times New Roman" w:hAnsi="Times New Roman" w:eastAsia="微软雅黑" w:cs="Times New Roman"/>
                <w:color w:val="415163"/>
                <w:sz w:val="15"/>
                <w:szCs w:val="15"/>
              </w:rPr>
              <w:t>官方网站：</w:t>
            </w:r>
            <w:r>
              <w:rPr>
                <w:rStyle w:val="8"/>
                <w:rFonts w:hint="default" w:ascii="Times New Roman" w:hAnsi="Times New Roman" w:eastAsia="微软雅黑" w:cs="Times New Roman"/>
                <w:kern w:val="0"/>
                <w:sz w:val="15"/>
                <w:szCs w:val="15"/>
                <w:lang w:val="en-US" w:eastAsia="zh-CN" w:bidi="ar"/>
              </w:rPr>
              <w:t>www.omicsolution.com</w:t>
            </w:r>
          </w:p>
          <w:p w14:paraId="253DC57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left"/>
              <w:rPr>
                <w:rFonts w:hint="default" w:ascii="Times New Roman" w:hAnsi="Times New Roman" w:eastAsia="微软雅黑" w:cs="Times New Roman"/>
                <w:sz w:val="15"/>
                <w:szCs w:val="15"/>
              </w:rPr>
            </w:pPr>
            <w:r>
              <w:rPr>
                <w:rFonts w:hint="default" w:ascii="Times New Roman" w:hAnsi="Times New Roman" w:eastAsia="微软雅黑" w:cs="Times New Roman"/>
                <w:color w:val="415163"/>
                <w:sz w:val="15"/>
                <w:szCs w:val="15"/>
              </w:rPr>
              <w:t>若有任何疑问，欢迎</w:t>
            </w:r>
            <w:r>
              <w:rPr>
                <w:rFonts w:hint="eastAsia" w:ascii="Times New Roman" w:hAnsi="Times New Roman" w:eastAsia="微软雅黑" w:cs="Times New Roman"/>
                <w:color w:val="415163"/>
                <w:sz w:val="15"/>
                <w:szCs w:val="15"/>
                <w:lang w:val="en-US" w:eastAsia="zh-CN"/>
              </w:rPr>
              <w:t>发送</w:t>
            </w:r>
            <w:r>
              <w:rPr>
                <w:rFonts w:hint="default" w:ascii="Times New Roman" w:hAnsi="Times New Roman" w:eastAsia="微软雅黑" w:cs="Times New Roman"/>
                <w:color w:val="415163"/>
                <w:sz w:val="15"/>
                <w:szCs w:val="15"/>
              </w:rPr>
              <w:t>邮件</w:t>
            </w:r>
            <w:r>
              <w:rPr>
                <w:rFonts w:hint="eastAsia" w:ascii="Times New Roman" w:hAnsi="Times New Roman" w:eastAsia="微软雅黑" w:cs="Times New Roman"/>
                <w:color w:val="415163"/>
                <w:sz w:val="15"/>
                <w:szCs w:val="15"/>
                <w:lang w:val="en-US" w:eastAsia="zh-CN"/>
              </w:rPr>
              <w:t>至</w:t>
            </w:r>
            <w:r>
              <w:rPr>
                <w:rFonts w:hint="default" w:ascii="Times New Roman" w:hAnsi="Times New Roman" w:eastAsia="微软雅黑" w:cs="Times New Roman"/>
                <w:color w:val="415163"/>
                <w:sz w:val="15"/>
                <w:szCs w:val="15"/>
              </w:rPr>
              <w:t>：</w:t>
            </w:r>
          </w:p>
          <w:p w14:paraId="2E10B294">
            <w:pPr>
              <w:keepNext w:val="0"/>
              <w:keepLines w:val="0"/>
              <w:widowControl/>
              <w:suppressLineNumbers w:val="0"/>
              <w:spacing w:line="240" w:lineRule="auto"/>
              <w:jc w:val="left"/>
              <w:rPr>
                <w:rFonts w:hint="default" w:ascii="Times New Roman" w:hAnsi="Times New Roman" w:eastAsia="微软雅黑" w:cs="Times New Roman"/>
                <w:sz w:val="15"/>
                <w:szCs w:val="15"/>
                <w:vertAlign w:val="baseline"/>
                <w:lang w:val="en-US" w:eastAsia="zh-CN"/>
              </w:rPr>
            </w:pPr>
            <w:r>
              <w:rPr>
                <w:rStyle w:val="8"/>
                <w:rFonts w:hint="default" w:ascii="Times New Roman" w:hAnsi="Times New Roman" w:eastAsia="微软雅黑" w:cs="Times New Roman"/>
                <w:kern w:val="0"/>
                <w:sz w:val="15"/>
                <w:szCs w:val="15"/>
                <w:lang w:val="en-US" w:eastAsia="zh-CN" w:bidi="ar"/>
              </w:rPr>
              <w:t>support@omicsolution.com</w:t>
            </w:r>
          </w:p>
        </w:tc>
      </w:tr>
    </w:tbl>
    <w:p w14:paraId="3034D738">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jc w:val="left"/>
        <w:textAlignment w:val="auto"/>
        <w:rPr>
          <w:rFonts w:hint="default"/>
          <w:sz w:val="18"/>
          <w:szCs w:val="18"/>
          <w:lang w:val="en-US" w:eastAsia="zh-CN"/>
        </w:rPr>
      </w:pPr>
    </w:p>
    <w:sectPr>
      <w:headerReference r:id="rId3" w:type="default"/>
      <w:footerReference r:id="rId4" w:type="default"/>
      <w:pgSz w:w="11906" w:h="16838"/>
      <w:pgMar w:top="1440" w:right="1800" w:bottom="1440" w:left="1800" w:header="851" w:footer="90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新宋体">
    <w:panose1 w:val="02010609030101010101"/>
    <w:charset w:val="86"/>
    <w:family w:val="modern"/>
    <w:pitch w:val="default"/>
    <w:sig w:usb0="000002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1136A5">
    <w:pPr>
      <w:pStyle w:val="2"/>
      <w:rPr>
        <w:rFonts w:hint="eastAsia"/>
        <w:lang w:eastAsia="zh-CN"/>
      </w:rPr>
    </w:pPr>
    <w:r>
      <w:rPr>
        <w:rFonts w:hint="eastAsia" w:ascii="微软雅黑" w:hAnsi="微软雅黑" w:eastAsia="微软雅黑" w:cs="微软雅黑"/>
        <w:sz w:val="24"/>
        <w:szCs w:val="24"/>
      </w:rPr>
      <mc:AlternateContent>
        <mc:Choice Requires="wps">
          <w:drawing>
            <wp:anchor distT="0" distB="0" distL="114300" distR="114300" simplePos="0" relativeHeight="251662336" behindDoc="0" locked="0" layoutInCell="1" allowOverlap="1">
              <wp:simplePos x="0" y="0"/>
              <wp:positionH relativeFrom="margin">
                <wp:posOffset>2595245</wp:posOffset>
              </wp:positionH>
              <wp:positionV relativeFrom="paragraph">
                <wp:posOffset>99060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64FEEE">
                          <w:pPr>
                            <w:pStyle w:val="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04.35pt;margin-top:7.8pt;height:144pt;width:144pt;mso-position-horizontal-relative:margin;mso-wrap-style:none;z-index:251662336;mso-width-relative:page;mso-height-relative:page;" filled="f" stroked="f" coordsize="21600,21600" o:gfxdata="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BoPKC1wAAAAoBAAAPAAAAAAAAAAEAIAAAACIAAABkcnMvZG93bnJldi54bWxQ&#10;SwECFAAUAAAACACHTuJA6wA4ejECAABjBAAADgAAAAAAAAABACAAAAAmAQAAZHJzL2Uyb0RvYy54&#10;bWxQSwUGAAAAAAYABgBZAQAAyQUAAAAA&#10;">
              <v:fill on="f" focussize="0,0"/>
              <v:stroke on="f" weight="0.5pt"/>
              <v:imagedata o:title=""/>
              <o:lock v:ext="edit" aspectratio="f"/>
              <v:textbox inset="0mm,0mm,0mm,0mm" style="mso-fit-shape-to-text:t;">
                <w:txbxContent>
                  <w:p w14:paraId="5564FEEE">
                    <w:pPr>
                      <w:pStyle w:val="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v:textbox>
            </v:shape>
          </w:pict>
        </mc:Fallback>
      </mc:AlternateContent>
    </w:r>
    <w:r>
      <w:rPr>
        <w:rFonts w:hint="eastAsia" w:ascii="微软雅黑" w:hAnsi="微软雅黑" w:eastAsia="微软雅黑" w:cs="微软雅黑"/>
        <w:sz w:val="24"/>
        <w:szCs w:val="24"/>
      </w:rPr>
      <w:drawing>
        <wp:anchor distT="0" distB="0" distL="114300" distR="114300" simplePos="0" relativeHeight="251661312" behindDoc="1" locked="0" layoutInCell="1" allowOverlap="1">
          <wp:simplePos x="0" y="0"/>
          <wp:positionH relativeFrom="page">
            <wp:posOffset>0</wp:posOffset>
          </wp:positionH>
          <wp:positionV relativeFrom="page">
            <wp:posOffset>9333230</wp:posOffset>
          </wp:positionV>
          <wp:extent cx="7571740" cy="1355090"/>
          <wp:effectExtent l="0" t="0" r="635" b="6985"/>
          <wp:wrapNone/>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
                  <a:stretch>
                    <a:fillRect/>
                  </a:stretch>
                </pic:blipFill>
                <pic:spPr>
                  <a:xfrm flipH="1" flipV="1">
                    <a:off x="0" y="0"/>
                    <a:ext cx="7571740" cy="1355090"/>
                  </a:xfrm>
                  <a:prstGeom prst="rect">
                    <a:avLst/>
                  </a:prstGeom>
                  <a:noFill/>
                  <a:ln>
                    <a:noFill/>
                  </a:ln>
                </pic:spPr>
              </pic:pic>
            </a:graphicData>
          </a:graphic>
        </wp:anchor>
      </w:drawing>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192433">
    <w:pPr>
      <w:pStyle w:val="3"/>
    </w:pPr>
    <w:r>
      <w:drawing>
        <wp:anchor distT="0" distB="0" distL="114300" distR="114300" simplePos="0" relativeHeight="251660288" behindDoc="1" locked="0" layoutInCell="1" allowOverlap="1">
          <wp:simplePos x="0" y="0"/>
          <wp:positionH relativeFrom="page">
            <wp:posOffset>6350</wp:posOffset>
          </wp:positionH>
          <wp:positionV relativeFrom="page">
            <wp:posOffset>-6350</wp:posOffset>
          </wp:positionV>
          <wp:extent cx="7560945" cy="1357630"/>
          <wp:effectExtent l="0" t="0" r="1905" b="4445"/>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
                  <a:stretch>
                    <a:fillRect/>
                  </a:stretch>
                </pic:blipFill>
                <pic:spPr>
                  <a:xfrm>
                    <a:off x="0" y="0"/>
                    <a:ext cx="7560945" cy="1357630"/>
                  </a:xfrm>
                  <a:prstGeom prst="rect">
                    <a:avLst/>
                  </a:prstGeom>
                  <a:noFill/>
                  <a:ln>
                    <a:noFill/>
                  </a:ln>
                </pic:spPr>
              </pic:pic>
            </a:graphicData>
          </a:graphic>
        </wp:anchor>
      </w:drawing>
    </w:r>
    <w:r>
      <w:rPr>
        <w:sz w:val="18"/>
      </w:rPr>
      <w:drawing>
        <wp:anchor distT="0" distB="0" distL="114300" distR="114300" simplePos="0" relativeHeight="251663360" behindDoc="1" locked="0" layoutInCell="1" allowOverlap="1">
          <wp:simplePos x="0" y="0"/>
          <wp:positionH relativeFrom="margin">
            <wp:align>center</wp:align>
          </wp:positionH>
          <wp:positionV relativeFrom="margin">
            <wp:align>center</wp:align>
          </wp:positionV>
          <wp:extent cx="5274310" cy="911860"/>
          <wp:effectExtent l="0" t="1616710" r="0" b="1598930"/>
          <wp:wrapNone/>
          <wp:docPr id="3" name="WordPictureWatermark3966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39663" descr="logo"/>
                  <pic:cNvPicPr>
                    <a:picLocks noChangeAspect="1"/>
                  </pic:cNvPicPr>
                </pic:nvPicPr>
                <pic:blipFill>
                  <a:blip r:embed="rId2">
                    <a:lum bright="70000" contrast="-70000"/>
                  </a:blip>
                  <a:stretch>
                    <a:fillRect/>
                  </a:stretch>
                </pic:blipFill>
                <pic:spPr>
                  <a:xfrm rot="18900000">
                    <a:off x="0" y="0"/>
                    <a:ext cx="5274310" cy="91186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A74312"/>
    <w:multiLevelType w:val="singleLevel"/>
    <w:tmpl w:val="89A74312"/>
    <w:lvl w:ilvl="0" w:tentative="0">
      <w:start w:val="1"/>
      <w:numFmt w:val="lowerLetter"/>
      <w:suff w:val="space"/>
      <w:lvlText w:val="%1."/>
      <w:lvlJc w:val="left"/>
    </w:lvl>
  </w:abstractNum>
  <w:abstractNum w:abstractNumId="1">
    <w:nsid w:val="970C61D9"/>
    <w:multiLevelType w:val="singleLevel"/>
    <w:tmpl w:val="970C61D9"/>
    <w:lvl w:ilvl="0" w:tentative="0">
      <w:start w:val="1"/>
      <w:numFmt w:val="bullet"/>
      <w:lvlText w:val=""/>
      <w:lvlJc w:val="left"/>
      <w:pPr>
        <w:ind w:left="420" w:hanging="420"/>
      </w:pPr>
      <w:rPr>
        <w:rFonts w:hint="default" w:ascii="Wingdings" w:hAnsi="Wingdings"/>
      </w:rPr>
    </w:lvl>
  </w:abstractNum>
  <w:abstractNum w:abstractNumId="2">
    <w:nsid w:val="4EB15633"/>
    <w:multiLevelType w:val="singleLevel"/>
    <w:tmpl w:val="4EB15633"/>
    <w:lvl w:ilvl="0" w:tentative="0">
      <w:start w:val="1"/>
      <w:numFmt w:val="decimal"/>
      <w:suff w:val="space"/>
      <w:lvlText w:val="%1."/>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E4YWE2NWM2NjkyMzUxOGRkNDNkNjJlMmYxYjJlZDkifQ=="/>
    <w:docVar w:name="KSO_WPS_MARK_KEY" w:val="a10c1cbc-3e90-4865-b475-cacac3c9125d"/>
  </w:docVars>
  <w:rsids>
    <w:rsidRoot w:val="00000000"/>
    <w:rsid w:val="02F16060"/>
    <w:rsid w:val="0F56003F"/>
    <w:rsid w:val="13AC0DFB"/>
    <w:rsid w:val="13D77AA4"/>
    <w:rsid w:val="15F159C8"/>
    <w:rsid w:val="19D538CE"/>
    <w:rsid w:val="1B63383F"/>
    <w:rsid w:val="1BAF4D2D"/>
    <w:rsid w:val="1E6E4DAD"/>
    <w:rsid w:val="1EFC5E1C"/>
    <w:rsid w:val="239D478B"/>
    <w:rsid w:val="255F1AF9"/>
    <w:rsid w:val="2FFA371C"/>
    <w:rsid w:val="30E64D81"/>
    <w:rsid w:val="344F3FA7"/>
    <w:rsid w:val="3D2C6E4B"/>
    <w:rsid w:val="3F8F6DDC"/>
    <w:rsid w:val="41412BA9"/>
    <w:rsid w:val="42F655C2"/>
    <w:rsid w:val="431602B4"/>
    <w:rsid w:val="44C43561"/>
    <w:rsid w:val="479F3FCA"/>
    <w:rsid w:val="4A07448C"/>
    <w:rsid w:val="4C886703"/>
    <w:rsid w:val="4DD50E53"/>
    <w:rsid w:val="51FD34C3"/>
    <w:rsid w:val="52A5300F"/>
    <w:rsid w:val="54100711"/>
    <w:rsid w:val="5536229C"/>
    <w:rsid w:val="59866B0F"/>
    <w:rsid w:val="59DB219E"/>
    <w:rsid w:val="5E08480C"/>
    <w:rsid w:val="60A74B67"/>
    <w:rsid w:val="63F70CE7"/>
    <w:rsid w:val="67A805F8"/>
    <w:rsid w:val="694E771A"/>
    <w:rsid w:val="6CEA7F87"/>
    <w:rsid w:val="7151411F"/>
    <w:rsid w:val="75C43A70"/>
    <w:rsid w:val="76746B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 w:type="character" w:styleId="9">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sv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13.jpe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svg"/><Relationship Id="rId12" Type="http://schemas.openxmlformats.org/officeDocument/2006/relationships/image" Target="media/image9.png"/><Relationship Id="rId11" Type="http://schemas.openxmlformats.org/officeDocument/2006/relationships/image" Target="media/image8.svg"/><Relationship Id="rId10" Type="http://schemas.openxmlformats.org/officeDocument/2006/relationships/image" Target="media/image7.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1086</Words>
  <Characters>1312</Characters>
  <Lines>0</Lines>
  <Paragraphs>0</Paragraphs>
  <TotalTime>0</TotalTime>
  <ScaleCrop>false</ScaleCrop>
  <LinksUpToDate>false</LinksUpToDate>
  <CharactersWithSpaces>1341</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2022-03-28T04:49:00Z</dcterms:created>
  <dc:creator>omicsolution</dc:creator>
  <cp:lastModifiedBy>＄@＃</cp:lastModifiedBy>
  <cp:lastPrinted>2023-12-12T08:23:00Z</cp:lastPrinted>
  <dcterms:modified xsi:type="dcterms:W3CDTF">2026-06-10T01:46:54Z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F7253604CEDA4B21A7C163D467F7AADA_13</vt:lpwstr>
  </property>
  <property fmtid="{D5CDD505-2E9C-101B-9397-08002B2CF9AE}" pid="4" name="KSOTemplateDocerSaveRecord">
    <vt:lpwstr>eyJoZGlkIjoiNGE4MmJmZWM4N2NmNzM0ODc5NTJkMGZhNzZhNmI2ZDgiLCJ1c2VySWQiOiI2OTYyMTYzMjYifQ==</vt:lpwstr>
  </property>
</Properties>
</file>