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0.svg" ContentType="image/svg+xml"/>
  <Override PartName="/word/media/image5.svg" ContentType="image/svg+xml"/>
  <Override PartName="/word/media/image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CB8E9">
      <w:pPr>
        <w:jc w:val="cente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Ultra</w:t>
      </w:r>
      <w:r>
        <w:rPr>
          <w:rFonts w:hint="eastAsia" w:ascii="微软雅黑" w:hAnsi="微软雅黑" w:eastAsia="微软雅黑" w:cs="微软雅黑"/>
          <w:b/>
          <w:bCs/>
          <w:sz w:val="32"/>
          <w:szCs w:val="32"/>
        </w:rPr>
        <w:t>单细胞蛋白质组前处理</w:t>
      </w:r>
      <w:r>
        <w:rPr>
          <w:rFonts w:hint="eastAsia" w:ascii="微软雅黑" w:hAnsi="微软雅黑" w:eastAsia="微软雅黑" w:cs="微软雅黑"/>
          <w:b/>
          <w:bCs/>
          <w:sz w:val="32"/>
          <w:szCs w:val="32"/>
          <w:lang w:val="en-US" w:eastAsia="zh-CN"/>
        </w:rPr>
        <w:t>试剂盒</w:t>
      </w:r>
    </w:p>
    <w:p w14:paraId="5C45E1D9">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货号：OSFP0009  规格：8x  版本号：V20260609</w:t>
      </w:r>
      <w:bookmarkStart w:id="0" w:name="_GoBack"/>
      <w:bookmarkEnd w:id="0"/>
    </w:p>
    <w:p w14:paraId="7A28CF60">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9"/>
        <w:gridCol w:w="1514"/>
        <w:gridCol w:w="4329"/>
        <w:gridCol w:w="1287"/>
      </w:tblGrid>
      <w:tr w14:paraId="17746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627BEEC7">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试剂名称</w:t>
            </w:r>
          </w:p>
        </w:tc>
        <w:tc>
          <w:tcPr>
            <w:tcW w:w="888" w:type="pct"/>
            <w:tcBorders>
              <w:top w:val="single" w:color="auto" w:sz="6" w:space="0"/>
              <w:bottom w:val="single" w:color="auto" w:sz="6" w:space="0"/>
            </w:tcBorders>
            <w:vAlign w:val="center"/>
          </w:tcPr>
          <w:p w14:paraId="4D7094A9">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规格</w:t>
            </w:r>
          </w:p>
        </w:tc>
        <w:tc>
          <w:tcPr>
            <w:tcW w:w="2540" w:type="pct"/>
            <w:tcBorders>
              <w:top w:val="single" w:color="auto" w:sz="6" w:space="0"/>
              <w:bottom w:val="single" w:color="auto" w:sz="6" w:space="0"/>
            </w:tcBorders>
            <w:vAlign w:val="center"/>
          </w:tcPr>
          <w:p w14:paraId="31F48008">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简   介</w:t>
            </w:r>
          </w:p>
        </w:tc>
        <w:tc>
          <w:tcPr>
            <w:tcW w:w="755" w:type="pct"/>
            <w:tcBorders>
              <w:top w:val="single" w:color="auto" w:sz="6" w:space="0"/>
              <w:bottom w:val="single" w:color="auto" w:sz="6" w:space="0"/>
            </w:tcBorders>
            <w:vAlign w:val="center"/>
          </w:tcPr>
          <w:p w14:paraId="59F00A45">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储存条件</w:t>
            </w:r>
          </w:p>
        </w:tc>
      </w:tr>
      <w:tr w14:paraId="6ECB0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2BB0F91">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试剂A </w:t>
            </w:r>
            <w:r>
              <w:rPr>
                <w:rFonts w:hint="eastAsia" w:ascii="微软雅黑" w:hAnsi="微软雅黑" w:eastAsia="微软雅黑" w:cs="微软雅黑"/>
                <w:color w:val="843C0B" w:themeColor="accent2" w:themeShade="80"/>
                <w:sz w:val="18"/>
                <w:szCs w:val="18"/>
              </w:rPr>
              <w:t>●</w:t>
            </w:r>
          </w:p>
        </w:tc>
        <w:tc>
          <w:tcPr>
            <w:tcW w:w="888" w:type="pct"/>
            <w:tcBorders>
              <w:top w:val="nil"/>
              <w:bottom w:val="nil"/>
            </w:tcBorders>
            <w:vAlign w:val="center"/>
          </w:tcPr>
          <w:p w14:paraId="0B565741">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100</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63ED728F">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还原烷基化，蛋白质还原烷基化</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也可用于蛋白裂解</w:t>
            </w:r>
          </w:p>
        </w:tc>
        <w:tc>
          <w:tcPr>
            <w:tcW w:w="755" w:type="pct"/>
            <w:tcBorders>
              <w:top w:val="nil"/>
              <w:bottom w:val="nil"/>
            </w:tcBorders>
            <w:vAlign w:val="center"/>
          </w:tcPr>
          <w:p w14:paraId="090660D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27893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9CBD6A9">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B</w:t>
            </w:r>
            <w:r>
              <w:rPr>
                <w:rFonts w:hint="eastAsia" w:ascii="微软雅黑" w:hAnsi="微软雅黑" w:eastAsia="微软雅黑" w:cs="微软雅黑"/>
                <w:sz w:val="18"/>
                <w:szCs w:val="18"/>
              </w:rPr>
              <w:t xml:space="preserve"> </w:t>
            </w:r>
            <w:r>
              <w:rPr>
                <w:rFonts w:hint="eastAsia" w:ascii="微软雅黑" w:hAnsi="微软雅黑" w:eastAsia="微软雅黑" w:cs="微软雅黑"/>
                <w:color w:val="0000FF"/>
                <w:sz w:val="18"/>
                <w:szCs w:val="18"/>
              </w:rPr>
              <w:t>●</w:t>
            </w:r>
          </w:p>
        </w:tc>
        <w:tc>
          <w:tcPr>
            <w:tcW w:w="888" w:type="pct"/>
            <w:tcBorders>
              <w:top w:val="nil"/>
              <w:bottom w:val="nil"/>
            </w:tcBorders>
            <w:vAlign w:val="center"/>
          </w:tcPr>
          <w:p w14:paraId="4C50157B">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16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76CCAED5">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酶，蛋白酶解</w:t>
            </w:r>
          </w:p>
        </w:tc>
        <w:tc>
          <w:tcPr>
            <w:tcW w:w="755" w:type="pct"/>
            <w:tcBorders>
              <w:top w:val="nil"/>
              <w:bottom w:val="nil"/>
            </w:tcBorders>
            <w:vAlign w:val="center"/>
          </w:tcPr>
          <w:p w14:paraId="3765009F">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098B5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573EC94A">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C</w:t>
            </w:r>
            <w:r>
              <w:rPr>
                <w:rFonts w:hint="eastAsia" w:ascii="微软雅黑" w:hAnsi="微软雅黑" w:eastAsia="微软雅黑" w:cs="微软雅黑"/>
                <w:sz w:val="18"/>
                <w:szCs w:val="18"/>
              </w:rPr>
              <w:t xml:space="preserve"> ●</w:t>
            </w:r>
          </w:p>
        </w:tc>
        <w:tc>
          <w:tcPr>
            <w:tcW w:w="888" w:type="pct"/>
            <w:tcBorders>
              <w:top w:val="nil"/>
              <w:bottom w:val="nil"/>
            </w:tcBorders>
            <w:vAlign w:val="center"/>
          </w:tcPr>
          <w:p w14:paraId="7A81E0DE">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100</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6054B756">
            <w:pPr>
              <w:spacing w:line="360" w:lineRule="auto"/>
              <w:jc w:val="center"/>
              <w:rPr>
                <w:rFonts w:hint="default"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终止试剂，终止酶解反应</w:t>
            </w:r>
          </w:p>
        </w:tc>
        <w:tc>
          <w:tcPr>
            <w:tcW w:w="755" w:type="pct"/>
            <w:tcBorders>
              <w:top w:val="nil"/>
              <w:bottom w:val="nil"/>
            </w:tcBorders>
            <w:vAlign w:val="center"/>
          </w:tcPr>
          <w:p w14:paraId="5A2890BB">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常温</w:t>
            </w:r>
          </w:p>
        </w:tc>
      </w:tr>
      <w:tr w14:paraId="4D17D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single" w:color="auto" w:sz="4" w:space="0"/>
            </w:tcBorders>
            <w:vAlign w:val="center"/>
          </w:tcPr>
          <w:p w14:paraId="74E45D2B">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低吸附离心管</w:t>
            </w:r>
          </w:p>
        </w:tc>
        <w:tc>
          <w:tcPr>
            <w:tcW w:w="888" w:type="pct"/>
            <w:tcBorders>
              <w:top w:val="nil"/>
              <w:bottom w:val="single" w:color="auto" w:sz="4" w:space="0"/>
            </w:tcBorders>
            <w:vAlign w:val="center"/>
          </w:tcPr>
          <w:p w14:paraId="0F84D6BD">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0.5 </w:t>
            </w:r>
            <w:r>
              <w:rPr>
                <w:rFonts w:hint="eastAsia" w:ascii="微软雅黑" w:hAnsi="微软雅黑" w:eastAsia="微软雅黑" w:cs="微软雅黑"/>
                <w:sz w:val="18"/>
                <w:szCs w:val="18"/>
              </w:rPr>
              <w:t>ml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16</w:t>
            </w:r>
          </w:p>
        </w:tc>
        <w:tc>
          <w:tcPr>
            <w:tcW w:w="2540" w:type="pct"/>
            <w:tcBorders>
              <w:top w:val="nil"/>
              <w:bottom w:val="single" w:color="auto" w:sz="4" w:space="0"/>
            </w:tcBorders>
            <w:vAlign w:val="center"/>
          </w:tcPr>
          <w:p w14:paraId="7ACD2E49">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实验用离心管，低吸附</w:t>
            </w:r>
          </w:p>
        </w:tc>
        <w:tc>
          <w:tcPr>
            <w:tcW w:w="755" w:type="pct"/>
            <w:tcBorders>
              <w:top w:val="nil"/>
              <w:bottom w:val="single" w:color="auto" w:sz="4" w:space="0"/>
            </w:tcBorders>
            <w:vAlign w:val="center"/>
          </w:tcPr>
          <w:p w14:paraId="166113CD">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常温</w:t>
            </w:r>
          </w:p>
        </w:tc>
      </w:tr>
    </w:tbl>
    <w:p w14:paraId="69E460E4">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1276D6DC">
      <w:pPr>
        <w:keepNext w:val="0"/>
        <w:keepLines w:val="0"/>
        <w:widowControl/>
        <w:suppressLineNumbers w:val="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生命体的最小组成单位是细胞，遗传及外部环境等因素使单细胞异质性广泛存在于众多生物体中。传统的生物学实验获得的结果多是大量细胞的平均测量值，因此在单细胞层面开展研究对于精确理解细胞的生长发育以及疾病的诊断与治疗至关重要。作为重要的细胞和生命活动的执行者，蛋白质由于其不具备扩增特性，且种类繁多、丰度低、动态分布范围宽，从而使单个细胞或者少量的细胞研究难以开展，无法得到理想的结果。OSFP0009试剂盒仅需简单几步就可完成全部实验，整个工作流约1.5h即可完成，操作简便且实验效果极佳，而且不用除盐，减少了样本的损失，使样本能尽可能的都能进行质谱检测，提升样本的鉴定结果。</w:t>
      </w:r>
    </w:p>
    <w:p w14:paraId="669A25E4">
      <w:pPr>
        <w:keepNext w:val="0"/>
        <w:keepLines w:val="0"/>
        <w:widowControl/>
        <w:suppressLineNumbers w:val="0"/>
        <w:jc w:val="left"/>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drawing>
          <wp:inline distT="0" distB="0" distL="114300" distR="114300">
            <wp:extent cx="5266055" cy="2395220"/>
            <wp:effectExtent l="0" t="0" r="1270" b="0"/>
            <wp:docPr id="6" name="图片 6" descr="OSFP00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OSFP0009-8"/>
                    <pic:cNvPicPr>
                      <a:picLocks noChangeAspect="1"/>
                    </pic:cNvPicPr>
                  </pic:nvPicPr>
                  <pic:blipFill>
                    <a:blip r:embed="rId6"/>
                    <a:stretch>
                      <a:fillRect/>
                    </a:stretch>
                  </pic:blipFill>
                  <pic:spPr>
                    <a:xfrm>
                      <a:off x="0" y="0"/>
                      <a:ext cx="5266055" cy="2395220"/>
                    </a:xfrm>
                    <a:prstGeom prst="rect">
                      <a:avLst/>
                    </a:prstGeom>
                  </pic:spPr>
                </pic:pic>
              </a:graphicData>
            </a:graphic>
          </wp:inline>
        </w:drawing>
      </w:r>
    </w:p>
    <w:p w14:paraId="5028B423">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4128002A">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33705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921" w:type="pct"/>
            <w:tcBorders>
              <w:top w:val="single" w:color="auto" w:sz="6" w:space="0"/>
              <w:bottom w:val="single" w:color="auto" w:sz="4" w:space="0"/>
            </w:tcBorders>
            <w:vAlign w:val="center"/>
          </w:tcPr>
          <w:p w14:paraId="67280203">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2306F01B">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6B191E69">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7D5AD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77099F56">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5AF68E26">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12876D4B">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3A536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375FE959">
            <w:pPr>
              <w:spacing w:line="24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低吸附枪头</w:t>
            </w:r>
          </w:p>
        </w:tc>
        <w:tc>
          <w:tcPr>
            <w:tcW w:w="822" w:type="pct"/>
            <w:tcBorders>
              <w:top w:val="nil"/>
              <w:bottom w:val="nil"/>
            </w:tcBorders>
            <w:vAlign w:val="center"/>
          </w:tcPr>
          <w:p w14:paraId="660A80C2">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28650" cy="504825"/>
                  <wp:effectExtent l="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9"/>
                          <a:stretch>
                            <a:fillRect/>
                          </a:stretch>
                        </pic:blipFill>
                        <pic:spPr>
                          <a:xfrm>
                            <a:off x="0" y="0"/>
                            <a:ext cx="628650" cy="504825"/>
                          </a:xfrm>
                          <a:prstGeom prst="rect">
                            <a:avLst/>
                          </a:prstGeom>
                          <a:solidFill>
                            <a:schemeClr val="bg1">
                              <a:alpha val="3000"/>
                            </a:schemeClr>
                          </a:solidFill>
                        </pic:spPr>
                      </pic:pic>
                    </a:graphicData>
                  </a:graphic>
                </wp:inline>
              </w:drawing>
            </w:r>
          </w:p>
        </w:tc>
        <w:tc>
          <w:tcPr>
            <w:tcW w:w="3256" w:type="pct"/>
            <w:tcBorders>
              <w:top w:val="nil"/>
              <w:bottom w:val="nil"/>
            </w:tcBorders>
            <w:vAlign w:val="center"/>
          </w:tcPr>
          <w:p w14:paraId="14397C7C">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w:t>
            </w:r>
            <w:r>
              <w:rPr>
                <w:rFonts w:hint="eastAsia" w:ascii="Times New Roman" w:hAnsi="Times New Roman" w:eastAsia="微软雅黑" w:cs="Times New Roman"/>
                <w:sz w:val="18"/>
                <w:szCs w:val="18"/>
                <w:lang w:val="en-US" w:eastAsia="zh-CN"/>
              </w:rPr>
              <w:t>添加试剂以及吸取液体</w:t>
            </w:r>
          </w:p>
        </w:tc>
      </w:tr>
      <w:tr w14:paraId="68C40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3CEA1A3C">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2BB31BC1">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0">
                            <a:extLst>
                              <a:ext uri="{96DAC541-7B7A-43D3-8B79-37D633B846F1}">
                                <asvg:svgBlip xmlns:asvg="http://schemas.microsoft.com/office/drawing/2016/SVG/main" r:embed="rId11"/>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29D65EE2">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07B8B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A58E16E">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0C440A68">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24510" cy="720725"/>
                  <wp:effectExtent l="0" t="0" r="8890" b="10795"/>
                  <wp:docPr id="8" name="图片 8" descr="离心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离心机"/>
                          <pic:cNvPicPr>
                            <a:picLocks noChangeAspect="1"/>
                          </pic:cNvPicPr>
                        </pic:nvPicPr>
                        <pic:blipFill>
                          <a:blip r:embed="rId12">
                            <a:extLst>
                              <a:ext uri="{96DAC541-7B7A-43D3-8B79-37D633B846F1}">
                                <asvg:svgBlip xmlns:asvg="http://schemas.microsoft.com/office/drawing/2016/SVG/main" r:embed="rId13"/>
                              </a:ext>
                            </a:extLst>
                          </a:blip>
                          <a:srcRect l="12541" t="7203" r="54272" b="11780"/>
                          <a:stretch>
                            <a:fillRect/>
                          </a:stretch>
                        </pic:blipFill>
                        <pic:spPr>
                          <a:xfrm>
                            <a:off x="0" y="0"/>
                            <a:ext cx="524510" cy="720725"/>
                          </a:xfrm>
                          <a:prstGeom prst="rect">
                            <a:avLst/>
                          </a:prstGeom>
                        </pic:spPr>
                      </pic:pic>
                    </a:graphicData>
                  </a:graphic>
                </wp:inline>
              </w:drawing>
            </w:r>
          </w:p>
        </w:tc>
        <w:tc>
          <w:tcPr>
            <w:tcW w:w="3256" w:type="pct"/>
            <w:tcBorders>
              <w:top w:val="nil"/>
              <w:bottom w:val="nil"/>
            </w:tcBorders>
            <w:vAlign w:val="center"/>
          </w:tcPr>
          <w:p w14:paraId="5E51766B">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08AE0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nil"/>
            </w:tcBorders>
            <w:vAlign w:val="center"/>
          </w:tcPr>
          <w:p w14:paraId="2CE97917">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nil"/>
            </w:tcBorders>
            <w:vAlign w:val="center"/>
          </w:tcPr>
          <w:p w14:paraId="28B33F66">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nil"/>
            </w:tcBorders>
            <w:vAlign w:val="center"/>
          </w:tcPr>
          <w:p w14:paraId="079186BD">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r w14:paraId="50B6E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921" w:type="pct"/>
            <w:tcBorders>
              <w:top w:val="nil"/>
              <w:bottom w:val="single" w:color="auto" w:sz="4" w:space="0"/>
            </w:tcBorders>
            <w:vAlign w:val="center"/>
          </w:tcPr>
          <w:p w14:paraId="1C6F55D1">
            <w:pPr>
              <w:spacing w:line="24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超声波清洗机</w:t>
            </w:r>
          </w:p>
        </w:tc>
        <w:tc>
          <w:tcPr>
            <w:tcW w:w="822" w:type="pct"/>
            <w:tcBorders>
              <w:top w:val="nil"/>
              <w:bottom w:val="single" w:color="auto" w:sz="4" w:space="0"/>
            </w:tcBorders>
            <w:vAlign w:val="center"/>
          </w:tcPr>
          <w:p w14:paraId="24FF5C30">
            <w:pPr>
              <w:spacing w:line="240" w:lineRule="auto"/>
              <w:jc w:val="left"/>
              <w:rPr>
                <w:rFonts w:hint="default" w:ascii="Times New Roman" w:hAnsi="Times New Roman" w:eastAsia="微软雅黑" w:cs="Times New Roman"/>
              </w:rPr>
            </w:pPr>
            <w:r>
              <w:rPr>
                <w:rFonts w:hint="default" w:ascii="Times New Roman" w:hAnsi="Times New Roman" w:cs="Times New Roman"/>
                <w:sz w:val="24"/>
                <w:szCs w:val="24"/>
                <w:lang w:val="en-US" w:eastAsia="zh-CN"/>
              </w:rPr>
              <w:drawing>
                <wp:anchor distT="0" distB="0" distL="114300" distR="114300" simplePos="0" relativeHeight="251659264" behindDoc="0" locked="0" layoutInCell="1" allowOverlap="1">
                  <wp:simplePos x="0" y="0"/>
                  <wp:positionH relativeFrom="column">
                    <wp:posOffset>78105</wp:posOffset>
                  </wp:positionH>
                  <wp:positionV relativeFrom="paragraph">
                    <wp:posOffset>104775</wp:posOffset>
                  </wp:positionV>
                  <wp:extent cx="600075" cy="572770"/>
                  <wp:effectExtent l="0" t="0" r="0" b="8255"/>
                  <wp:wrapSquare wrapText="bothSides"/>
                  <wp:docPr id="14" name="图片 1" descr="171878951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1718789514739"/>
                          <pic:cNvPicPr>
                            <a:picLocks noChangeAspect="1"/>
                          </pic:cNvPicPr>
                        </pic:nvPicPr>
                        <pic:blipFill>
                          <a:blip r:embed="rId15">
                            <a:grayscl/>
                          </a:blip>
                          <a:stretch>
                            <a:fillRect/>
                          </a:stretch>
                        </pic:blipFill>
                        <pic:spPr>
                          <a:xfrm>
                            <a:off x="0" y="0"/>
                            <a:ext cx="600075" cy="572770"/>
                          </a:xfrm>
                          <a:prstGeom prst="rect">
                            <a:avLst/>
                          </a:prstGeom>
                          <a:noFill/>
                          <a:ln>
                            <a:noFill/>
                          </a:ln>
                        </pic:spPr>
                      </pic:pic>
                    </a:graphicData>
                  </a:graphic>
                </wp:anchor>
              </w:drawing>
            </w:r>
          </w:p>
        </w:tc>
        <w:tc>
          <w:tcPr>
            <w:tcW w:w="3256" w:type="pct"/>
            <w:tcBorders>
              <w:top w:val="nil"/>
              <w:bottom w:val="single" w:color="auto" w:sz="4" w:space="0"/>
            </w:tcBorders>
            <w:vAlign w:val="center"/>
          </w:tcPr>
          <w:p w14:paraId="6BBE6952">
            <w:pPr>
              <w:spacing w:line="240" w:lineRule="auto"/>
              <w:jc w:val="left"/>
              <w:rPr>
                <w:rFonts w:hint="default" w:ascii="Times New Roman" w:hAnsi="Times New Roman" w:eastAsia="新宋体" w:cs="Times New Roman"/>
                <w:sz w:val="18"/>
                <w:szCs w:val="18"/>
                <w:lang w:val="en-US" w:eastAsia="zh-CN"/>
              </w:rPr>
            </w:pPr>
            <w:r>
              <w:rPr>
                <w:rFonts w:hint="eastAsia" w:ascii="Times New Roman" w:hAnsi="Times New Roman" w:eastAsia="微软雅黑" w:cs="Times New Roman"/>
                <w:sz w:val="18"/>
                <w:szCs w:val="18"/>
              </w:rPr>
              <w:t>主要用于细胞破碎</w:t>
            </w:r>
            <w:r>
              <w:rPr>
                <w:rFonts w:hint="eastAsia" w:ascii="Times New Roman" w:hAnsi="Times New Roman" w:eastAsia="微软雅黑" w:cs="Times New Roman"/>
                <w:sz w:val="18"/>
                <w:szCs w:val="18"/>
                <w:lang w:val="en-US" w:eastAsia="zh-CN"/>
              </w:rPr>
              <w:t>,使样本释放更多蛋白质</w:t>
            </w:r>
          </w:p>
        </w:tc>
      </w:tr>
    </w:tbl>
    <w:p w14:paraId="175F3D8E">
      <w:pPr>
        <w:numPr>
          <w:ilvl w:val="0"/>
          <w:numId w:val="1"/>
        </w:numPr>
        <w:spacing w:line="240" w:lineRule="auto"/>
        <w:ind w:left="0" w:leftChars="0" w:firstLine="0" w:firstLineChars="0"/>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操作过程</w:t>
      </w:r>
    </w:p>
    <w:p w14:paraId="33C62501">
      <w:pPr>
        <w:numPr>
          <w:ilvl w:val="0"/>
          <w:numId w:val="2"/>
        </w:num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样本中加入10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试剂</w:t>
      </w:r>
      <w:r>
        <w:rPr>
          <w:rFonts w:hint="eastAsia" w:ascii="Times New Roman" w:hAnsi="Times New Roman" w:eastAsia="微软雅黑" w:cs="Times New Roman"/>
          <w:color w:val="000000"/>
          <w:kern w:val="0"/>
          <w:sz w:val="21"/>
          <w:szCs w:val="21"/>
          <w:lang w:bidi="ar"/>
        </w:rPr>
        <w:t>A</w:t>
      </w:r>
      <w:r>
        <w:rPr>
          <w:rFonts w:hint="eastAsia" w:ascii="Times New Roman" w:hAnsi="Times New Roman" w:eastAsia="微软雅黑" w:cs="Times New Roman"/>
          <w:color w:val="000000"/>
          <w:kern w:val="0"/>
          <w:sz w:val="21"/>
          <w:szCs w:val="21"/>
          <w:lang w:eastAsia="zh-CN" w:bidi="ar"/>
        </w:rPr>
        <w:t>，</w:t>
      </w:r>
      <w:r>
        <w:rPr>
          <w:rFonts w:ascii="Times New Roman" w:hAnsi="Times New Roman" w:eastAsia="微软雅黑" w:cs="Times New Roman"/>
          <w:color w:val="000000"/>
          <w:kern w:val="0"/>
          <w:sz w:val="21"/>
          <w:szCs w:val="21"/>
          <w:lang w:bidi="ar"/>
        </w:rPr>
        <w:t>95℃加热</w:t>
      </w:r>
      <w:r>
        <w:rPr>
          <w:rFonts w:hint="eastAsia" w:ascii="Times New Roman" w:hAnsi="Times New Roman" w:eastAsia="微软雅黑" w:cs="Times New Roman"/>
          <w:color w:val="000000"/>
          <w:kern w:val="0"/>
          <w:sz w:val="21"/>
          <w:szCs w:val="21"/>
          <w:lang w:val="en-US" w:eastAsia="zh-CN" w:bidi="ar"/>
        </w:rPr>
        <w:t>40-50</w:t>
      </w:r>
      <w:r>
        <w:rPr>
          <w:rFonts w:ascii="Times New Roman" w:hAnsi="Times New Roman" w:eastAsia="微软雅黑" w:cs="Times New Roman"/>
          <w:color w:val="000000"/>
          <w:kern w:val="0"/>
          <w:sz w:val="21"/>
          <w:szCs w:val="21"/>
          <w:lang w:bidi="ar"/>
        </w:rPr>
        <w:t>min（95℃，1000rpm）</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期间每隔10min取出样本瞬离一下</w:t>
      </w:r>
      <w:r>
        <w:rPr>
          <w:rFonts w:hint="eastAsia" w:ascii="Times New Roman" w:hAnsi="Times New Roman" w:eastAsia="微软雅黑" w:cs="Times New Roman"/>
          <w:b/>
          <w:bCs/>
          <w:color w:val="FF0000"/>
          <w:kern w:val="0"/>
          <w:sz w:val="21"/>
          <w:szCs w:val="21"/>
          <w:lang w:val="en-US" w:eastAsia="zh-CN" w:bidi="ar"/>
        </w:rPr>
        <w:t>（如果是细胞样本，</w:t>
      </w:r>
      <w:r>
        <w:rPr>
          <w:rFonts w:hint="default" w:ascii="Times New Roman" w:hAnsi="Times New Roman" w:eastAsia="微软雅黑" w:cs="Times New Roman"/>
          <w:b/>
          <w:bCs/>
          <w:color w:val="FF0000"/>
          <w:kern w:val="0"/>
          <w:sz w:val="21"/>
          <w:szCs w:val="21"/>
          <w:lang w:val="en-US" w:eastAsia="zh-CN" w:bidi="ar"/>
        </w:rPr>
        <w:t>95℃</w:t>
      </w:r>
      <w:r>
        <w:rPr>
          <w:rFonts w:hint="eastAsia" w:ascii="Times New Roman" w:hAnsi="Times New Roman" w:eastAsia="微软雅黑" w:cs="Times New Roman"/>
          <w:b/>
          <w:bCs/>
          <w:color w:val="FF0000"/>
          <w:kern w:val="0"/>
          <w:sz w:val="21"/>
          <w:szCs w:val="21"/>
          <w:lang w:val="en-US" w:eastAsia="zh-CN" w:bidi="ar"/>
        </w:rPr>
        <w:t>反应10-15min即可）</w:t>
      </w:r>
      <w:r>
        <w:rPr>
          <w:rFonts w:ascii="Times New Roman" w:hAnsi="Times New Roman" w:eastAsia="微软雅黑" w:cs="Times New Roman"/>
          <w:color w:val="000000"/>
          <w:kern w:val="0"/>
          <w:sz w:val="21"/>
          <w:szCs w:val="21"/>
          <w:lang w:bidi="ar"/>
        </w:rPr>
        <w:t>；</w:t>
      </w:r>
    </w:p>
    <w:p w14:paraId="581CFA1B">
      <w:pPr>
        <w:numPr>
          <w:ilvl w:val="0"/>
          <w:numId w:val="2"/>
        </w:num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加热结束待样品恢复至室温后</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将样本瞬时离心，然后将样本管盖打开，继续放到95℃的混匀仪上放置30S-1min，即样本体积在</w:t>
      </w:r>
      <w:r>
        <w:rPr>
          <w:rFonts w:hint="default" w:ascii="Times New Roman" w:hAnsi="Times New Roman" w:eastAsia="微软雅黑" w:cs="Times New Roman"/>
          <w:color w:val="000000"/>
          <w:kern w:val="0"/>
          <w:sz w:val="21"/>
          <w:szCs w:val="21"/>
          <w:lang w:val="en-US" w:eastAsia="zh-CN" w:bidi="ar"/>
        </w:rPr>
        <w:t>5μl</w:t>
      </w:r>
      <w:r>
        <w:rPr>
          <w:rFonts w:hint="eastAsia" w:ascii="Times New Roman" w:hAnsi="Times New Roman" w:eastAsia="微软雅黑" w:cs="Times New Roman"/>
          <w:color w:val="000000"/>
          <w:kern w:val="0"/>
          <w:sz w:val="21"/>
          <w:szCs w:val="21"/>
          <w:lang w:val="en-US" w:eastAsia="zh-CN" w:bidi="ar"/>
        </w:rPr>
        <w:t>左右即可，然后冰浴超声40min（超声波清洗机超声即可）</w:t>
      </w:r>
      <w:r>
        <w:rPr>
          <w:rFonts w:hint="eastAsia" w:ascii="Times New Roman" w:hAnsi="Times New Roman" w:eastAsia="微软雅黑" w:cs="Times New Roman"/>
          <w:color w:val="FF0000"/>
          <w:kern w:val="0"/>
          <w:sz w:val="21"/>
          <w:szCs w:val="21"/>
          <w:lang w:val="en-US" w:eastAsia="zh-CN" w:bidi="ar"/>
        </w:rPr>
        <w:t>（</w:t>
      </w:r>
      <w:r>
        <w:rPr>
          <w:rFonts w:hint="eastAsia" w:ascii="Times New Roman" w:hAnsi="Times New Roman" w:eastAsia="微软雅黑" w:cs="Times New Roman"/>
          <w:b/>
          <w:bCs/>
          <w:color w:val="FF0000"/>
          <w:kern w:val="0"/>
          <w:sz w:val="21"/>
          <w:szCs w:val="21"/>
          <w:lang w:val="en-US" w:eastAsia="zh-CN" w:bidi="ar"/>
        </w:rPr>
        <w:t>如果是细胞样本，水浴超声10-15min即可</w:t>
      </w:r>
      <w:r>
        <w:rPr>
          <w:rFonts w:hint="eastAsia" w:ascii="Times New Roman" w:hAnsi="Times New Roman" w:eastAsia="微软雅黑" w:cs="Times New Roman"/>
          <w:color w:val="FF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w:t>
      </w:r>
    </w:p>
    <w:p w14:paraId="5C9E3893">
      <w:pPr>
        <w:numPr>
          <w:ilvl w:val="0"/>
          <w:numId w:val="2"/>
        </w:numPr>
        <w:spacing w:line="240" w:lineRule="auto"/>
        <w:ind w:left="0" w:leftChars="0" w:firstLine="0" w:firstLineChars="0"/>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超声结束后</w:t>
      </w:r>
      <w:r>
        <w:rPr>
          <w:rFonts w:ascii="Times New Roman" w:hAnsi="Times New Roman" w:eastAsia="微软雅黑" w:cs="Times New Roman"/>
          <w:color w:val="000000"/>
          <w:kern w:val="0"/>
          <w:sz w:val="21"/>
          <w:szCs w:val="21"/>
          <w:lang w:bidi="ar"/>
        </w:rPr>
        <w:t>加入</w:t>
      </w:r>
      <w:r>
        <w:rPr>
          <w:rFonts w:hint="eastAsia" w:ascii="Times New Roman" w:hAnsi="Times New Roman" w:eastAsia="微软雅黑" w:cs="Times New Roman"/>
          <w:color w:val="000000"/>
          <w:kern w:val="0"/>
          <w:sz w:val="21"/>
          <w:szCs w:val="21"/>
          <w:lang w:val="en-US" w:eastAsia="zh-CN" w:bidi="ar"/>
        </w:rPr>
        <w:t>1</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B（需混匀后取1</w:t>
      </w:r>
      <w:r>
        <w:rPr>
          <w:rFonts w:hint="default" w:ascii="Times New Roman" w:hAnsi="Times New Roman" w:eastAsia="微软雅黑" w:cs="Times New Roman"/>
          <w:color w:val="000000"/>
          <w:kern w:val="0"/>
          <w:sz w:val="21"/>
          <w:szCs w:val="21"/>
          <w:lang w:val="en-US" w:eastAsia="zh-CN" w:bidi="ar"/>
        </w:rPr>
        <w:t>μ</w:t>
      </w:r>
      <w:r>
        <w:rPr>
          <w:rFonts w:hint="eastAsia" w:ascii="Times New Roman" w:hAnsi="Times New Roman" w:eastAsia="微软雅黑" w:cs="Times New Roman"/>
          <w:color w:val="000000"/>
          <w:kern w:val="0"/>
          <w:sz w:val="21"/>
          <w:szCs w:val="21"/>
          <w:lang w:val="en-US" w:eastAsia="zh-CN" w:bidi="ar"/>
        </w:rPr>
        <w:t>l加入样本中）</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val="en-US" w:eastAsia="zh-CN" w:bidi="ar"/>
        </w:rPr>
        <w:t>10min</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540E2688">
      <w:pPr>
        <w:numPr>
          <w:ilvl w:val="0"/>
          <w:numId w:val="2"/>
        </w:numPr>
        <w:spacing w:line="240" w:lineRule="auto"/>
        <w:ind w:left="0" w:leftChars="0" w:firstLine="0" w:firstLineChars="0"/>
        <w:rPr>
          <w:rFonts w:hint="eastAsia" w:ascii="Times New Roman" w:hAnsi="Times New Roman" w:eastAsia="微软雅黑" w:cs="Times New Roman"/>
          <w:b/>
          <w:bCs/>
          <w:color w:val="auto"/>
          <w:kern w:val="0"/>
          <w:sz w:val="21"/>
          <w:szCs w:val="21"/>
          <w:lang w:eastAsia="zh-CN" w:bidi="ar"/>
        </w:rPr>
      </w:pPr>
      <w:r>
        <w:rPr>
          <w:rFonts w:hint="eastAsia" w:ascii="Times New Roman" w:hAnsi="Times New Roman" w:eastAsia="微软雅黑" w:cs="Times New Roman"/>
          <w:color w:val="000000"/>
          <w:kern w:val="0"/>
          <w:sz w:val="21"/>
          <w:szCs w:val="21"/>
          <w:lang w:val="en-US" w:eastAsia="zh-CN" w:bidi="ar"/>
        </w:rPr>
        <w:t>酶解结束</w:t>
      </w:r>
      <w:r>
        <w:rPr>
          <w:rFonts w:ascii="Times New Roman" w:hAnsi="Times New Roman" w:eastAsia="微软雅黑" w:cs="Times New Roman"/>
          <w:color w:val="000000"/>
          <w:kern w:val="0"/>
          <w:sz w:val="21"/>
          <w:szCs w:val="21"/>
          <w:lang w:bidi="ar"/>
        </w:rPr>
        <w:t>后加入</w:t>
      </w:r>
      <w:r>
        <w:rPr>
          <w:rFonts w:hint="eastAsia" w:ascii="Times New Roman" w:hAnsi="Times New Roman" w:eastAsia="微软雅黑" w:cs="Times New Roman"/>
          <w:color w:val="000000"/>
          <w:kern w:val="0"/>
          <w:sz w:val="21"/>
          <w:szCs w:val="21"/>
          <w:lang w:val="en-US" w:eastAsia="zh-CN" w:bidi="ar"/>
        </w:rPr>
        <w:t>10</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w:t>
      </w:r>
      <w:r>
        <w:rPr>
          <w:rFonts w:hint="eastAsia" w:ascii="Times New Roman" w:hAnsi="Times New Roman" w:eastAsia="微软雅黑" w:cs="Times New Roman"/>
          <w:color w:val="000000"/>
          <w:kern w:val="0"/>
          <w:sz w:val="21"/>
          <w:szCs w:val="21"/>
          <w:lang w:val="en-US" w:eastAsia="zh-CN" w:bidi="ar"/>
        </w:rPr>
        <w:t>20</w:t>
      </w:r>
      <w:r>
        <w:rPr>
          <w:rFonts w:ascii="Times New Roman" w:hAnsi="Times New Roman" w:eastAsia="微软雅黑" w:cs="Times New Roman"/>
          <w:color w:val="000000"/>
          <w:kern w:val="0"/>
          <w:sz w:val="21"/>
          <w:szCs w:val="21"/>
          <w:lang w:bidi="ar"/>
        </w:rPr>
        <w:t>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b/>
          <w:bCs/>
          <w:color w:val="FF0000"/>
          <w:kern w:val="0"/>
          <w:sz w:val="21"/>
          <w:szCs w:val="21"/>
          <w:lang w:eastAsia="zh-CN" w:bidi="ar"/>
        </w:rPr>
        <w:t>（</w:t>
      </w:r>
      <w:r>
        <w:rPr>
          <w:rFonts w:hint="eastAsia" w:ascii="Times New Roman" w:hAnsi="Times New Roman" w:eastAsia="微软雅黑" w:cs="Times New Roman"/>
          <w:b/>
          <w:bCs/>
          <w:color w:val="FF0000"/>
          <w:kern w:val="0"/>
          <w:sz w:val="21"/>
          <w:szCs w:val="21"/>
          <w:lang w:val="en-US" w:eastAsia="zh-CN" w:bidi="ar"/>
        </w:rPr>
        <w:t>除盐步骤可选，如果要除盐建议选用Thermofisher的Pierce</w:t>
      </w:r>
      <w:r>
        <w:rPr>
          <w:rFonts w:hint="eastAsia" w:ascii="Times New Roman" w:hAnsi="Times New Roman" w:eastAsia="微软雅黑" w:cs="Times New Roman"/>
          <w:b/>
          <w:bCs/>
          <w:color w:val="FF0000"/>
          <w:kern w:val="0"/>
          <w:sz w:val="21"/>
          <w:szCs w:val="21"/>
          <w:vertAlign w:val="superscript"/>
          <w:lang w:val="en-US" w:eastAsia="zh-CN" w:bidi="ar"/>
        </w:rPr>
        <w:t>TM</w:t>
      </w:r>
      <w:r>
        <w:rPr>
          <w:rFonts w:hint="eastAsia" w:ascii="Times New Roman" w:hAnsi="Times New Roman" w:eastAsia="微软雅黑" w:cs="Times New Roman"/>
          <w:b/>
          <w:bCs/>
          <w:color w:val="FF0000"/>
          <w:kern w:val="0"/>
          <w:sz w:val="21"/>
          <w:szCs w:val="21"/>
          <w:lang w:val="en-US" w:eastAsia="zh-CN" w:bidi="ar"/>
        </w:rPr>
        <w:t xml:space="preserve"> C18 Spin Tips，货号84850</w:t>
      </w:r>
      <w:r>
        <w:rPr>
          <w:rFonts w:hint="eastAsia" w:ascii="Times New Roman" w:hAnsi="Times New Roman" w:eastAsia="微软雅黑" w:cs="Times New Roman"/>
          <w:b/>
          <w:bCs/>
          <w:color w:val="FF0000"/>
          <w:kern w:val="0"/>
          <w:sz w:val="21"/>
          <w:szCs w:val="21"/>
          <w:lang w:eastAsia="zh-CN" w:bidi="ar"/>
        </w:rPr>
        <w:t>）</w:t>
      </w:r>
    </w:p>
    <w:p w14:paraId="1B0E54A3">
      <w:pPr>
        <w:numPr>
          <w:ilvl w:val="0"/>
          <w:numId w:val="2"/>
        </w:numPr>
        <w:spacing w:line="240" w:lineRule="auto"/>
        <w:ind w:left="0" w:leftChars="0" w:firstLine="0" w:firstLineChars="0"/>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真空冷冻离心浓缩仪浓缩样本。</w:t>
      </w:r>
    </w:p>
    <w:p w14:paraId="2ED38ECA">
      <w:pPr>
        <w:spacing w:line="240" w:lineRule="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e. 抽干后的样本用适量的质谱上样buffer重悬，高速离心后装入进样瓶。</w:t>
      </w:r>
    </w:p>
    <w:p w14:paraId="11D86E32">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63B975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65DC7E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试剂B需要混匀后再用，并且使用过程中也要多混匀几次，否则会影响实验效果。</w:t>
      </w:r>
    </w:p>
    <w:p w14:paraId="7A7FB3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78B4A2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07FE6D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248CF4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23F82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505A49BD">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6"/>
                          <a:stretch>
                            <a:fillRect/>
                          </a:stretch>
                        </pic:blipFill>
                        <pic:spPr>
                          <a:xfrm>
                            <a:off x="0" y="0"/>
                            <a:ext cx="666115" cy="666115"/>
                          </a:xfrm>
                          <a:prstGeom prst="rect">
                            <a:avLst/>
                          </a:prstGeom>
                        </pic:spPr>
                      </pic:pic>
                    </a:graphicData>
                  </a:graphic>
                </wp:inline>
              </w:drawing>
            </w:r>
          </w:p>
        </w:tc>
        <w:tc>
          <w:tcPr>
            <w:tcW w:w="2451" w:type="dxa"/>
            <w:vAlign w:val="center"/>
          </w:tcPr>
          <w:p w14:paraId="2FF400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3DF2A6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44C32CDB">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03F98B7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800" w:bottom="1440" w:left="1800"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45557">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CA46A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07CA46A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1312" behindDoc="1" locked="0" layoutInCell="1" allowOverlap="1">
          <wp:simplePos x="0" y="0"/>
          <wp:positionH relativeFrom="page">
            <wp:posOffset>0</wp:posOffset>
          </wp:positionH>
          <wp:positionV relativeFrom="page">
            <wp:posOffset>9333230</wp:posOffset>
          </wp:positionV>
          <wp:extent cx="7571740" cy="1355090"/>
          <wp:effectExtent l="0" t="0" r="635"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71740" cy="135509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C69FC">
    <w:pPr>
      <w:pStyle w:val="3"/>
    </w:pPr>
    <w:r>
      <w:drawing>
        <wp:anchor distT="0" distB="0" distL="114300" distR="114300" simplePos="0" relativeHeight="251660288" behindDoc="1" locked="0" layoutInCell="1" allowOverlap="1">
          <wp:simplePos x="0" y="0"/>
          <wp:positionH relativeFrom="page">
            <wp:posOffset>6350</wp:posOffset>
          </wp:positionH>
          <wp:positionV relativeFrom="page">
            <wp:posOffset>-6350</wp:posOffset>
          </wp:positionV>
          <wp:extent cx="7560945" cy="1357630"/>
          <wp:effectExtent l="0" t="0" r="1905" b="444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560945" cy="1357630"/>
                  </a:xfrm>
                  <a:prstGeom prst="rect">
                    <a:avLst/>
                  </a:prstGeom>
                  <a:noFill/>
                  <a:ln>
                    <a:noFill/>
                  </a:ln>
                </pic:spPr>
              </pic:pic>
            </a:graphicData>
          </a:graphic>
        </wp:anchor>
      </w:drawing>
    </w:r>
    <w:r>
      <w:rPr>
        <w:sz w:val="18"/>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A74312"/>
    <w:multiLevelType w:val="singleLevel"/>
    <w:tmpl w:val="89A74312"/>
    <w:lvl w:ilvl="0" w:tentative="0">
      <w:start w:val="1"/>
      <w:numFmt w:val="lowerLetter"/>
      <w:suff w:val="space"/>
      <w:lvlText w:val="%1."/>
      <w:lvlJc w:val="left"/>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4EB15633"/>
    <w:multiLevelType w:val="singleLevel"/>
    <w:tmpl w:val="4EB15633"/>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a10c1cbc-3e90-4865-b475-cacac3c9125d"/>
  </w:docVars>
  <w:rsids>
    <w:rsidRoot w:val="00000000"/>
    <w:rsid w:val="02F16060"/>
    <w:rsid w:val="0E2514DD"/>
    <w:rsid w:val="0F56003F"/>
    <w:rsid w:val="13AC0DFB"/>
    <w:rsid w:val="13D77AA4"/>
    <w:rsid w:val="15F159C8"/>
    <w:rsid w:val="19D538CE"/>
    <w:rsid w:val="1B63383F"/>
    <w:rsid w:val="1BAF4D2D"/>
    <w:rsid w:val="1E6E4DAD"/>
    <w:rsid w:val="1EFC5E1C"/>
    <w:rsid w:val="239D478B"/>
    <w:rsid w:val="255F1AF9"/>
    <w:rsid w:val="2FFA371C"/>
    <w:rsid w:val="30E64D81"/>
    <w:rsid w:val="344F3FA7"/>
    <w:rsid w:val="3BB04278"/>
    <w:rsid w:val="3D2C6E4B"/>
    <w:rsid w:val="3F8F6DDC"/>
    <w:rsid w:val="41412BA9"/>
    <w:rsid w:val="42F655C2"/>
    <w:rsid w:val="431602B4"/>
    <w:rsid w:val="479F3FCA"/>
    <w:rsid w:val="4A07448C"/>
    <w:rsid w:val="4C886703"/>
    <w:rsid w:val="4DD50E53"/>
    <w:rsid w:val="51FD34C3"/>
    <w:rsid w:val="52A5300F"/>
    <w:rsid w:val="54100711"/>
    <w:rsid w:val="5536229C"/>
    <w:rsid w:val="59866B0F"/>
    <w:rsid w:val="5EE52828"/>
    <w:rsid w:val="60A74B67"/>
    <w:rsid w:val="63F70CE7"/>
    <w:rsid w:val="67A805F8"/>
    <w:rsid w:val="68EB55AA"/>
    <w:rsid w:val="6CEA7F87"/>
    <w:rsid w:val="701D5166"/>
    <w:rsid w:val="7151411F"/>
    <w:rsid w:val="75C43A70"/>
    <w:rsid w:val="76746B37"/>
    <w:rsid w:val="7A5E3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svg"/><Relationship Id="rId12" Type="http://schemas.openxmlformats.org/officeDocument/2006/relationships/image" Target="media/image9.png"/><Relationship Id="rId11" Type="http://schemas.openxmlformats.org/officeDocument/2006/relationships/image" Target="media/image8.sv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1108</Words>
  <Characters>1337</Characters>
  <Lines>0</Lines>
  <Paragraphs>0</Paragraphs>
  <TotalTime>12</TotalTime>
  <ScaleCrop>false</ScaleCrop>
  <LinksUpToDate>false</LinksUpToDate>
  <CharactersWithSpaces>1369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2023-12-12T08:23:00Z</cp:lastPrinted>
  <dcterms:modified xsi:type="dcterms:W3CDTF">2026-06-10T01:46:56Z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58EFB434DD974C2A9A8B26E6E48146A7_13</vt:lpwstr>
  </property>
  <property fmtid="{D5CDD505-2E9C-101B-9397-08002B2CF9AE}" pid="4" name="KSOTemplateDocerSaveRecord">
    <vt:lpwstr>eyJoZGlkIjoiNGE4MmJmZWM4N2NmNzM0ODc5NTJkMGZhNzZhNmI2ZDgiLCJ1c2VySWQiOiI2OTYyMTYzMjYifQ==</vt:lpwstr>
  </property>
</Properties>
</file>