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C91E7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eastAsia" w:ascii="Times New Roman" w:hAnsi="Times New Roman" w:eastAsia="微软雅黑" w:cs="Times New Roman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微软雅黑" w:cs="Times New Roman"/>
          <w:b/>
          <w:bCs/>
          <w:color w:val="auto"/>
          <w:sz w:val="28"/>
          <w:szCs w:val="28"/>
          <w:lang w:val="en-US" w:eastAsia="zh-CN"/>
        </w:rPr>
        <w:t>EasyPept 肽段清洗试剂盒</w:t>
      </w:r>
    </w:p>
    <w:p w14:paraId="370732EA">
      <w:pPr>
        <w:jc w:val="center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 xml:space="preserve">货号：OSFP0050-AUTO  规格：96x  </w:t>
      </w:r>
      <w:r>
        <w:rPr>
          <w:rFonts w:hint="eastAsia" w:ascii="Times New Roman" w:hAnsi="Times New Roman" w:eastAsia="微软雅黑" w:cs="Times New Roman"/>
          <w:lang w:val="en-US" w:eastAsia="zh-CN"/>
        </w:rPr>
        <w:t>版本号：</w:t>
      </w:r>
      <w:r>
        <w:rPr>
          <w:rFonts w:ascii="宋体" w:hAnsi="宋体" w:eastAsia="宋体" w:cs="宋体"/>
          <w:sz w:val="24"/>
          <w:szCs w:val="24"/>
        </w:rPr>
        <w:t>V202606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08</w:t>
      </w:r>
      <w:bookmarkStart w:id="1" w:name="_GoBack"/>
      <w:bookmarkEnd w:id="1"/>
    </w:p>
    <w:p w14:paraId="4CB4929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试剂盒内容：</w:t>
      </w:r>
    </w:p>
    <w:tbl>
      <w:tblPr>
        <w:tblStyle w:val="8"/>
        <w:tblpPr w:leftFromText="180" w:rightFromText="180" w:vertAnchor="text" w:horzAnchor="page" w:tblpX="1798" w:tblpY="579"/>
        <w:tblOverlap w:val="never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3"/>
        <w:gridCol w:w="1592"/>
        <w:gridCol w:w="4391"/>
        <w:gridCol w:w="1533"/>
      </w:tblGrid>
      <w:tr w14:paraId="63749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3" w:hRule="atLeast"/>
        </w:trPr>
        <w:tc>
          <w:tcPr>
            <w:tcW w:w="910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B15D22A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试剂名称</w:t>
            </w:r>
          </w:p>
        </w:tc>
        <w:tc>
          <w:tcPr>
            <w:tcW w:w="866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48D9D1EB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规格</w:t>
            </w:r>
          </w:p>
        </w:tc>
        <w:tc>
          <w:tcPr>
            <w:tcW w:w="2389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5FCD010A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简   介</w:t>
            </w:r>
          </w:p>
        </w:tc>
        <w:tc>
          <w:tcPr>
            <w:tcW w:w="834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669DF242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</w:rPr>
              <w:t>储存条件</w:t>
            </w:r>
          </w:p>
        </w:tc>
      </w:tr>
      <w:tr w14:paraId="167B9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10" w:type="pct"/>
            <w:tcBorders>
              <w:top w:val="single" w:color="auto" w:sz="6" w:space="0"/>
              <w:bottom w:val="nil"/>
            </w:tcBorders>
            <w:noWrap w:val="0"/>
            <w:vAlign w:val="center"/>
          </w:tcPr>
          <w:p w14:paraId="13AF34F8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●</w:t>
            </w:r>
          </w:p>
        </w:tc>
        <w:tc>
          <w:tcPr>
            <w:tcW w:w="866" w:type="pct"/>
            <w:tcBorders>
              <w:top w:val="single" w:color="auto" w:sz="6" w:space="0"/>
              <w:bottom w:val="nil"/>
            </w:tcBorders>
            <w:noWrap w:val="0"/>
            <w:vAlign w:val="center"/>
          </w:tcPr>
          <w:p w14:paraId="71D44A00">
            <w:pPr>
              <w:spacing w:line="360" w:lineRule="auto"/>
              <w:jc w:val="center"/>
              <w:rPr>
                <w:rFonts w:hint="default" w:ascii="微软雅黑" w:hAnsi="微软雅黑" w:eastAsia="微软雅黑" w:cs="微软雅黑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15ml*1</w:t>
            </w:r>
          </w:p>
        </w:tc>
        <w:tc>
          <w:tcPr>
            <w:tcW w:w="2389" w:type="pct"/>
            <w:tcBorders>
              <w:top w:val="single" w:color="auto" w:sz="6" w:space="0"/>
              <w:bottom w:val="nil"/>
            </w:tcBorders>
            <w:noWrap w:val="0"/>
            <w:vAlign w:val="center"/>
          </w:tcPr>
          <w:p w14:paraId="72012BB3">
            <w:pPr>
              <w:spacing w:line="360" w:lineRule="auto"/>
              <w:jc w:val="center"/>
              <w:rPr>
                <w:rFonts w:hint="default" w:ascii="微软雅黑" w:hAnsi="微软雅黑" w:eastAsia="微软雅黑" w:cs="微软雅黑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终止酶解及调整溶液buffer</w:t>
            </w:r>
          </w:p>
        </w:tc>
        <w:tc>
          <w:tcPr>
            <w:tcW w:w="834" w:type="pct"/>
            <w:tcBorders>
              <w:top w:val="single" w:color="auto" w:sz="6" w:space="0"/>
              <w:bottom w:val="nil"/>
            </w:tcBorders>
            <w:noWrap w:val="0"/>
            <w:vAlign w:val="center"/>
          </w:tcPr>
          <w:p w14:paraId="4FF46BA2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lang w:val="en-US" w:eastAsia="zh-CN"/>
              </w:rPr>
              <w:t>常温</w:t>
            </w:r>
          </w:p>
        </w:tc>
      </w:tr>
      <w:tr w14:paraId="17242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10" w:type="pct"/>
            <w:tcBorders>
              <w:top w:val="nil"/>
              <w:bottom w:val="nil"/>
            </w:tcBorders>
            <w:noWrap w:val="0"/>
            <w:vAlign w:val="center"/>
          </w:tcPr>
          <w:p w14:paraId="0AD8743D"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bookmarkStart w:id="0" w:name="OLE_LINK2"/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bookmarkEnd w:id="0"/>
            <w:r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  <w:t>D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00B0F0"/>
                <w:sz w:val="21"/>
                <w:szCs w:val="21"/>
                <w:vertAlign w:val="baseline"/>
                <w:lang w:val="en-US" w:eastAsia="zh-CN"/>
              </w:rPr>
              <w:t>●</w:t>
            </w:r>
          </w:p>
        </w:tc>
        <w:tc>
          <w:tcPr>
            <w:tcW w:w="866" w:type="pct"/>
            <w:tcBorders>
              <w:top w:val="nil"/>
              <w:bottom w:val="nil"/>
            </w:tcBorders>
            <w:noWrap w:val="0"/>
            <w:vAlign w:val="center"/>
          </w:tcPr>
          <w:p w14:paraId="51A341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20m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l*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389" w:type="pct"/>
            <w:tcBorders>
              <w:top w:val="nil"/>
              <w:bottom w:val="nil"/>
            </w:tcBorders>
            <w:noWrap w:val="0"/>
            <w:vAlign w:val="center"/>
          </w:tcPr>
          <w:p w14:paraId="49F8DC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肽段清洗试剂1，清洗肽段</w:t>
            </w:r>
          </w:p>
        </w:tc>
        <w:tc>
          <w:tcPr>
            <w:tcW w:w="834" w:type="pct"/>
            <w:tcBorders>
              <w:top w:val="nil"/>
              <w:bottom w:val="nil"/>
            </w:tcBorders>
            <w:noWrap w:val="0"/>
            <w:vAlign w:val="center"/>
          </w:tcPr>
          <w:p w14:paraId="4879EB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</w:t>
            </w:r>
          </w:p>
        </w:tc>
      </w:tr>
      <w:tr w14:paraId="69B22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10" w:type="pct"/>
            <w:tcBorders>
              <w:top w:val="nil"/>
              <w:bottom w:val="nil"/>
            </w:tcBorders>
            <w:noWrap w:val="0"/>
            <w:vAlign w:val="center"/>
          </w:tcPr>
          <w:p w14:paraId="7D5B83F4"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  <w:t>E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005E2A"/>
                <w:sz w:val="21"/>
                <w:szCs w:val="21"/>
                <w:vertAlign w:val="baseline"/>
                <w:lang w:val="en-US" w:eastAsia="zh-CN"/>
              </w:rPr>
              <w:t>●</w:t>
            </w:r>
          </w:p>
        </w:tc>
        <w:tc>
          <w:tcPr>
            <w:tcW w:w="866" w:type="pct"/>
            <w:tcBorders>
              <w:top w:val="nil"/>
              <w:bottom w:val="nil"/>
            </w:tcBorders>
            <w:noWrap w:val="0"/>
            <w:vAlign w:val="center"/>
          </w:tcPr>
          <w:p w14:paraId="25BFC8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20m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l*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389" w:type="pct"/>
            <w:tcBorders>
              <w:top w:val="nil"/>
              <w:bottom w:val="nil"/>
            </w:tcBorders>
            <w:noWrap w:val="0"/>
            <w:vAlign w:val="center"/>
          </w:tcPr>
          <w:p w14:paraId="47B012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肽段清洗试剂2，清洗肽段</w:t>
            </w:r>
          </w:p>
        </w:tc>
        <w:tc>
          <w:tcPr>
            <w:tcW w:w="834" w:type="pct"/>
            <w:tcBorders>
              <w:top w:val="nil"/>
              <w:bottom w:val="nil"/>
            </w:tcBorders>
            <w:noWrap w:val="0"/>
            <w:vAlign w:val="center"/>
          </w:tcPr>
          <w:p w14:paraId="1D1860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</w:t>
            </w:r>
          </w:p>
        </w:tc>
      </w:tr>
      <w:tr w14:paraId="1FFD3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10" w:type="pct"/>
            <w:tcBorders>
              <w:top w:val="nil"/>
              <w:bottom w:val="nil"/>
            </w:tcBorders>
            <w:noWrap w:val="0"/>
            <w:vAlign w:val="center"/>
          </w:tcPr>
          <w:p w14:paraId="03FEDC66"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</w:rPr>
              <w:t>试剂</w:t>
            </w:r>
            <w:r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  <w:t>F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F87BE5"/>
                <w:sz w:val="21"/>
                <w:szCs w:val="21"/>
                <w:vertAlign w:val="baseline"/>
                <w:lang w:val="en-US" w:eastAsia="zh-CN"/>
              </w:rPr>
              <w:t>●</w:t>
            </w:r>
          </w:p>
        </w:tc>
        <w:tc>
          <w:tcPr>
            <w:tcW w:w="866" w:type="pct"/>
            <w:tcBorders>
              <w:top w:val="nil"/>
              <w:bottom w:val="nil"/>
            </w:tcBorders>
            <w:noWrap w:val="0"/>
            <w:vAlign w:val="center"/>
          </w:tcPr>
          <w:p w14:paraId="48E56A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20m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l*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389" w:type="pct"/>
            <w:tcBorders>
              <w:top w:val="nil"/>
              <w:bottom w:val="nil"/>
            </w:tcBorders>
            <w:noWrap w:val="0"/>
            <w:vAlign w:val="center"/>
          </w:tcPr>
          <w:p w14:paraId="7C5422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肽段洗脱试剂</w:t>
            </w:r>
          </w:p>
        </w:tc>
        <w:tc>
          <w:tcPr>
            <w:tcW w:w="834" w:type="pct"/>
            <w:tcBorders>
              <w:top w:val="nil"/>
              <w:bottom w:val="nil"/>
            </w:tcBorders>
            <w:noWrap w:val="0"/>
            <w:vAlign w:val="center"/>
          </w:tcPr>
          <w:p w14:paraId="6FCC26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</w:t>
            </w:r>
          </w:p>
        </w:tc>
      </w:tr>
      <w:tr w14:paraId="333BD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10" w:type="pct"/>
            <w:tcBorders>
              <w:top w:val="nil"/>
              <w:bottom w:val="nil"/>
            </w:tcBorders>
            <w:noWrap w:val="0"/>
            <w:vAlign w:val="center"/>
          </w:tcPr>
          <w:p w14:paraId="48F32131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  <w:t>Cartridge</w:t>
            </w:r>
          </w:p>
        </w:tc>
        <w:tc>
          <w:tcPr>
            <w:tcW w:w="866" w:type="pct"/>
            <w:tcBorders>
              <w:top w:val="nil"/>
              <w:bottom w:val="nil"/>
            </w:tcBorders>
            <w:noWrap w:val="0"/>
            <w:vAlign w:val="center"/>
          </w:tcPr>
          <w:p w14:paraId="3B455426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  <w:t>2-5</w:t>
            </w: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>0μg载量*</w:t>
            </w:r>
            <w:r>
              <w:rPr>
                <w:rFonts w:hint="eastAsia" w:ascii="Times New Roman" w:hAnsi="Times New Roman" w:eastAsia="微软雅黑" w:cs="Times New Roman"/>
                <w:sz w:val="21"/>
                <w:szCs w:val="21"/>
                <w:lang w:val="en-US" w:eastAsia="zh-CN"/>
              </w:rPr>
              <w:t>96</w:t>
            </w:r>
          </w:p>
        </w:tc>
        <w:tc>
          <w:tcPr>
            <w:tcW w:w="2389" w:type="pct"/>
            <w:tcBorders>
              <w:top w:val="nil"/>
              <w:bottom w:val="nil"/>
            </w:tcBorders>
            <w:noWrap w:val="0"/>
            <w:vAlign w:val="center"/>
          </w:tcPr>
          <w:p w14:paraId="372623F1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>肽段脱盐</w:t>
            </w:r>
          </w:p>
        </w:tc>
        <w:tc>
          <w:tcPr>
            <w:tcW w:w="834" w:type="pct"/>
            <w:tcBorders>
              <w:top w:val="nil"/>
              <w:bottom w:val="nil"/>
            </w:tcBorders>
            <w:noWrap w:val="0"/>
            <w:vAlign w:val="center"/>
          </w:tcPr>
          <w:p w14:paraId="1D4A6A67">
            <w:pPr>
              <w:jc w:val="center"/>
              <w:rPr>
                <w:rFonts w:hint="default" w:ascii="Times New Roman" w:hAnsi="Times New Roman" w:eastAsia="微软雅黑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sz w:val="21"/>
                <w:szCs w:val="21"/>
                <w:lang w:val="en-US" w:eastAsia="zh-CN"/>
              </w:rPr>
              <w:t>常温</w:t>
            </w:r>
          </w:p>
        </w:tc>
      </w:tr>
      <w:tr w14:paraId="33995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10" w:type="pct"/>
            <w:tcBorders>
              <w:top w:val="nil"/>
              <w:bottom w:val="nil"/>
            </w:tcBorders>
            <w:noWrap w:val="0"/>
            <w:vAlign w:val="center"/>
          </w:tcPr>
          <w:p w14:paraId="44CF6D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微软雅黑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  S板</w:t>
            </w:r>
          </w:p>
        </w:tc>
        <w:tc>
          <w:tcPr>
            <w:tcW w:w="866" w:type="pct"/>
            <w:tcBorders>
              <w:top w:val="nil"/>
              <w:bottom w:val="nil"/>
            </w:tcBorders>
            <w:noWrap w:val="0"/>
            <w:vAlign w:val="center"/>
          </w:tcPr>
          <w:p w14:paraId="300D2A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微软雅黑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1（96X）</w:t>
            </w:r>
          </w:p>
        </w:tc>
        <w:tc>
          <w:tcPr>
            <w:tcW w:w="2389" w:type="pct"/>
            <w:tcBorders>
              <w:top w:val="nil"/>
              <w:bottom w:val="nil"/>
            </w:tcBorders>
            <w:noWrap w:val="0"/>
            <w:vAlign w:val="center"/>
          </w:tcPr>
          <w:p w14:paraId="58D0F9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用于样品的还原烷基化、酶解</w:t>
            </w:r>
          </w:p>
        </w:tc>
        <w:tc>
          <w:tcPr>
            <w:tcW w:w="834" w:type="pct"/>
            <w:tcBorders>
              <w:top w:val="nil"/>
              <w:bottom w:val="nil"/>
            </w:tcBorders>
            <w:noWrap w:val="0"/>
            <w:vAlign w:val="center"/>
          </w:tcPr>
          <w:p w14:paraId="382127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常温</w:t>
            </w:r>
          </w:p>
        </w:tc>
      </w:tr>
      <w:tr w14:paraId="791EC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10" w:type="pct"/>
            <w:tcBorders>
              <w:top w:val="nil"/>
              <w:bottom w:val="nil"/>
            </w:tcBorders>
            <w:noWrap w:val="0"/>
            <w:vAlign w:val="center"/>
          </w:tcPr>
          <w:p w14:paraId="5D0894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微软雅黑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试剂槽</w:t>
            </w:r>
          </w:p>
        </w:tc>
        <w:tc>
          <w:tcPr>
            <w:tcW w:w="866" w:type="pct"/>
            <w:tcBorders>
              <w:top w:val="nil"/>
              <w:bottom w:val="nil"/>
            </w:tcBorders>
            <w:noWrap w:val="0"/>
            <w:vAlign w:val="center"/>
          </w:tcPr>
          <w:p w14:paraId="20DDE3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微软雅黑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1（96X）</w:t>
            </w:r>
          </w:p>
        </w:tc>
        <w:tc>
          <w:tcPr>
            <w:tcW w:w="2389" w:type="pct"/>
            <w:tcBorders>
              <w:top w:val="nil"/>
              <w:bottom w:val="nil"/>
            </w:tcBorders>
            <w:noWrap w:val="0"/>
            <w:vAlign w:val="center"/>
          </w:tcPr>
          <w:p w14:paraId="64A15C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用于自动化实验过程中试剂的存放</w:t>
            </w:r>
          </w:p>
        </w:tc>
        <w:tc>
          <w:tcPr>
            <w:tcW w:w="834" w:type="pct"/>
            <w:tcBorders>
              <w:top w:val="nil"/>
              <w:bottom w:val="nil"/>
            </w:tcBorders>
            <w:noWrap w:val="0"/>
            <w:vAlign w:val="center"/>
          </w:tcPr>
          <w:p w14:paraId="0BB6D4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常温</w:t>
            </w:r>
          </w:p>
        </w:tc>
      </w:tr>
      <w:tr w14:paraId="0B49C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10" w:type="pct"/>
            <w:tcBorders>
              <w:top w:val="nil"/>
              <w:bottom w:val="nil"/>
            </w:tcBorders>
            <w:noWrap w:val="0"/>
            <w:vAlign w:val="center"/>
          </w:tcPr>
          <w:p w14:paraId="216AB6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微软雅黑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Waste 板</w:t>
            </w:r>
          </w:p>
        </w:tc>
        <w:tc>
          <w:tcPr>
            <w:tcW w:w="866" w:type="pct"/>
            <w:tcBorders>
              <w:top w:val="nil"/>
              <w:bottom w:val="nil"/>
            </w:tcBorders>
            <w:noWrap w:val="0"/>
            <w:vAlign w:val="center"/>
          </w:tcPr>
          <w:p w14:paraId="034839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微软雅黑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1（96X）</w:t>
            </w:r>
          </w:p>
        </w:tc>
        <w:tc>
          <w:tcPr>
            <w:tcW w:w="2389" w:type="pct"/>
            <w:tcBorders>
              <w:top w:val="nil"/>
              <w:bottom w:val="nil"/>
            </w:tcBorders>
            <w:noWrap w:val="0"/>
            <w:vAlign w:val="center"/>
          </w:tcPr>
          <w:p w14:paraId="043E15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清洗肽段废液收集</w:t>
            </w:r>
          </w:p>
        </w:tc>
        <w:tc>
          <w:tcPr>
            <w:tcW w:w="834" w:type="pct"/>
            <w:tcBorders>
              <w:top w:val="nil"/>
              <w:bottom w:val="nil"/>
            </w:tcBorders>
            <w:noWrap w:val="0"/>
            <w:vAlign w:val="center"/>
          </w:tcPr>
          <w:p w14:paraId="45538C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常温</w:t>
            </w:r>
          </w:p>
        </w:tc>
      </w:tr>
      <w:tr w14:paraId="3A5C0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0" w:type="auto"/>
            <w:tcBorders>
              <w:top w:val="nil"/>
            </w:tcBorders>
            <w:vAlign w:val="center"/>
          </w:tcPr>
          <w:p w14:paraId="3EC055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微软雅黑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Collection 板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47A9A0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微软雅黑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1（96X）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6A2A83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洗脱肽段收集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1203A8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常温</w:t>
            </w:r>
          </w:p>
        </w:tc>
      </w:tr>
      <w:tr w14:paraId="62740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0" w:type="auto"/>
            <w:vAlign w:val="center"/>
          </w:tcPr>
          <w:p w14:paraId="35B474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49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微软雅黑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封口膜</w:t>
            </w:r>
          </w:p>
        </w:tc>
        <w:tc>
          <w:tcPr>
            <w:tcW w:w="0" w:type="auto"/>
            <w:vAlign w:val="center"/>
          </w:tcPr>
          <w:p w14:paraId="4F4188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微软雅黑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vAlign w:val="center"/>
          </w:tcPr>
          <w:p w14:paraId="007F97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96孔板封口</w:t>
            </w:r>
          </w:p>
        </w:tc>
        <w:tc>
          <w:tcPr>
            <w:tcW w:w="0" w:type="auto"/>
            <w:vAlign w:val="center"/>
          </w:tcPr>
          <w:p w14:paraId="2D409D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常温</w:t>
            </w:r>
          </w:p>
        </w:tc>
      </w:tr>
      <w:tr w14:paraId="79EA0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 w14:paraId="4E49B4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49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微软雅黑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枪头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 w14:paraId="612F69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微软雅黑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 w14:paraId="3F9BFD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实验用枪头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 w14:paraId="7CEAE7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常温</w:t>
            </w:r>
          </w:p>
        </w:tc>
      </w:tr>
    </w:tbl>
    <w:p w14:paraId="751F26B0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56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240" w:lineRule="auto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试剂盒操作流程：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ab/>
      </w:r>
    </w:p>
    <w:p w14:paraId="4EA94BEA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调整体系：酶解结束后的样本中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按1：1</w:t>
      </w:r>
      <w:r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加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入试剂C终止酶解</w:t>
      </w:r>
      <w:r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，吹打或者涡旋混匀；</w:t>
      </w:r>
    </w:p>
    <w:p w14:paraId="05E1450A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加载样本：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将样本</w:t>
      </w:r>
      <w:r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（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2</w:t>
      </w:r>
      <w:r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-50μg）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高速离心后</w:t>
      </w:r>
      <w:r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全部加载到脱盐柱中，700g离心1min（如果样本没有完全流穿，可适当延长离心的时间）；</w:t>
      </w:r>
    </w:p>
    <w:p w14:paraId="2174C201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脱盐柱清洗1：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1</w:t>
      </w:r>
      <w:r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 xml:space="preserve">00μl 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试剂D</w:t>
      </w:r>
      <w:r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加入到脱盐柱中，700g离心1min，重复操作一次；</w:t>
      </w:r>
    </w:p>
    <w:p w14:paraId="60203F0B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脱盐柱清洗2：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1</w:t>
      </w:r>
      <w:r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 xml:space="preserve">00μl 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试剂E</w:t>
      </w:r>
      <w:r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加入到脱盐柱中，700g离心1min，重复操作一次；</w:t>
      </w:r>
    </w:p>
    <w:p w14:paraId="064631DF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样本洗脱：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将脱盐柱转移到新的离心管（即收集管）中，</w:t>
      </w:r>
      <w:r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加入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10</w:t>
      </w:r>
      <w:r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 xml:space="preserve">0μl 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试剂F</w:t>
      </w:r>
      <w:r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到脱盐柱中，700g离心1min，洗脱两次，最终样本体积为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20</w:t>
      </w:r>
      <w:r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0μl；</w:t>
      </w:r>
    </w:p>
    <w:p w14:paraId="453B9E3F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  <w:t>真空冷冻离心浓缩仪浓缩样本。</w:t>
      </w:r>
    </w:p>
    <w:p w14:paraId="5F65EAD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240" w:lineRule="auto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注意事项：</w:t>
      </w:r>
    </w:p>
    <w:p w14:paraId="5F54C201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hint="eastAsia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过样前建议</w:t>
      </w:r>
      <w:r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高速离心后</w:t>
      </w:r>
      <w:r>
        <w:rPr>
          <w:rFonts w:hint="eastAsia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再</w:t>
      </w:r>
      <w:r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进行后续</w:t>
      </w:r>
      <w:r>
        <w:rPr>
          <w:rFonts w:hint="eastAsia" w:ascii="Times New Roman" w:hAnsi="Times New Roman" w:eastAsia="微软雅黑" w:cs="Times New Roman"/>
          <w:color w:val="000000"/>
          <w:kern w:val="0"/>
          <w:sz w:val="18"/>
          <w:szCs w:val="18"/>
          <w:lang w:val="en-US" w:eastAsia="zh-CN" w:bidi="ar"/>
        </w:rPr>
        <w:t>除盐操作；</w:t>
      </w:r>
    </w:p>
    <w:p w14:paraId="02C9FAAA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肽段脱盐过程离心速度不要超过推荐的离心速度（最大离心速度不要超过1000g），因为这可能会损坏柱子填料导致样品丢失和/或损坏仪器；</w:t>
      </w:r>
    </w:p>
    <w:p w14:paraId="5D44DE7D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</w:pPr>
      <w:r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使用低吸附离心管，最大限度的提高样本回收率；</w:t>
      </w:r>
    </w:p>
    <w:p w14:paraId="74DB22B9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jc w:val="left"/>
        <w:textAlignment w:val="auto"/>
        <w:rPr>
          <w:rFonts w:hint="default"/>
          <w:sz w:val="18"/>
          <w:szCs w:val="18"/>
          <w:lang w:val="en-US" w:eastAsia="zh-CN"/>
        </w:rPr>
      </w:pPr>
      <w:r>
        <w:rPr>
          <w:rFonts w:ascii="Times New Roman" w:hAnsi="Times New Roman" w:eastAsia="微软雅黑" w:cs="Times New Roman"/>
          <w:color w:val="000000"/>
          <w:kern w:val="0"/>
          <w:sz w:val="18"/>
          <w:szCs w:val="18"/>
          <w:lang w:bidi="ar"/>
        </w:rPr>
        <w:t>避免样品污染及皮肤直接接触试剂，实验时戴好手套、口罩。</w:t>
      </w:r>
    </w:p>
    <w:p w14:paraId="04FD13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240" w:lineRule="auto"/>
        <w:ind w:leftChars="0"/>
        <w:textAlignment w:val="auto"/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</w:p>
    <w:p w14:paraId="581F543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</w:pPr>
    </w:p>
    <w:sectPr>
      <w:headerReference r:id="rId3" w:type="default"/>
      <w:footerReference r:id="rId4" w:type="default"/>
      <w:pgSz w:w="11906" w:h="16838"/>
      <w:pgMar w:top="1440" w:right="1463" w:bottom="1440" w:left="1463" w:header="850" w:footer="56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252A2C">
    <w:pPr>
      <w:pStyle w:val="5"/>
      <w:jc w:val="center"/>
      <w:rPr>
        <w:rFonts w:hint="eastAsia" w:ascii="宋体" w:hAnsi="宋体" w:eastAsia="宋体" w:cs="宋体"/>
        <w:b/>
        <w:bCs/>
        <w:sz w:val="18"/>
        <w:szCs w:val="18"/>
        <w:lang w:val="en-US"/>
      </w:rPr>
    </w:pPr>
    <w:r>
      <w:rPr>
        <w:rFonts w:hint="eastAsia" w:ascii="宋体" w:hAnsi="宋体" w:eastAsia="宋体" w:cs="宋体"/>
        <w:b/>
        <w:bCs/>
        <w:color w:val="auto"/>
        <w:sz w:val="18"/>
        <w:szCs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4004310</wp:posOffset>
          </wp:positionH>
          <wp:positionV relativeFrom="page">
            <wp:posOffset>5561965</wp:posOffset>
          </wp:positionV>
          <wp:extent cx="3542030" cy="5120640"/>
          <wp:effectExtent l="0" t="0" r="8890" b="0"/>
          <wp:wrapNone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10800000">
                    <a:off x="0" y="0"/>
                    <a:ext cx="3542030" cy="5120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bCs/>
        <w:color w:val="auto"/>
        <w:sz w:val="18"/>
        <w:szCs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199706">
                          <w:pPr>
                            <w:pStyle w:val="5"/>
                          </w:pP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PAGE  \* MERGEFORMAT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- 1 -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199706">
                    <w:pPr>
                      <w:pStyle w:val="5"/>
                    </w:pP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PAGE  \* MERGEFORMAT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- 1 -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hAnsi="宋体" w:eastAsia="宋体" w:cs="宋体"/>
        <w:b/>
        <w:bCs/>
        <w:color w:val="auto"/>
        <w:sz w:val="18"/>
        <w:szCs w:val="18"/>
        <w:lang w:val="en-US" w:eastAsia="zh-CN"/>
      </w:rPr>
      <w:t>上海易算生物科技有限公司      邮箱：</w:t>
    </w:r>
    <w:r>
      <w:rPr>
        <w:rFonts w:hint="eastAsia" w:ascii="宋体" w:hAnsi="宋体" w:eastAsia="宋体" w:cs="宋体"/>
        <w:b/>
        <w:bCs/>
        <w:sz w:val="18"/>
        <w:szCs w:val="18"/>
        <w:lang w:val="en-US" w:eastAsia="zh-CN"/>
      </w:rPr>
      <w:fldChar w:fldCharType="begin"/>
    </w:r>
    <w:r>
      <w:rPr>
        <w:rFonts w:hint="eastAsia" w:ascii="宋体" w:hAnsi="宋体" w:eastAsia="宋体" w:cs="宋体"/>
        <w:b/>
        <w:bCs/>
        <w:sz w:val="18"/>
        <w:szCs w:val="18"/>
        <w:lang w:val="en-US" w:eastAsia="zh-CN"/>
      </w:rPr>
      <w:instrText xml:space="preserve"> HYPERLINK "mailto:support@omicsolution.com" </w:instrText>
    </w:r>
    <w:r>
      <w:rPr>
        <w:rFonts w:hint="eastAsia" w:ascii="宋体" w:hAnsi="宋体" w:eastAsia="宋体" w:cs="宋体"/>
        <w:b/>
        <w:bCs/>
        <w:sz w:val="18"/>
        <w:szCs w:val="18"/>
        <w:lang w:val="en-US" w:eastAsia="zh-CN"/>
      </w:rPr>
      <w:fldChar w:fldCharType="separate"/>
    </w:r>
    <w:r>
      <w:rPr>
        <w:rStyle w:val="10"/>
        <w:rFonts w:hint="eastAsia" w:ascii="宋体" w:hAnsi="宋体" w:eastAsia="宋体" w:cs="宋体"/>
        <w:b/>
        <w:bCs/>
        <w:sz w:val="18"/>
        <w:szCs w:val="18"/>
        <w:lang w:val="en-US" w:eastAsia="zh-CN"/>
      </w:rPr>
      <w:t>support@omicsolution.com</w:t>
    </w:r>
    <w:r>
      <w:rPr>
        <w:rFonts w:hint="eastAsia" w:ascii="宋体" w:hAnsi="宋体" w:eastAsia="宋体" w:cs="宋体"/>
        <w:b/>
        <w:bCs/>
        <w:sz w:val="18"/>
        <w:szCs w:val="18"/>
        <w:lang w:val="en-US" w:eastAsia="zh-CN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5D9FF">
    <w:pPr>
      <w:pStyle w:val="6"/>
      <w:pBdr>
        <w:bottom w:val="thinThickMediumGap" w:color="auto" w:sz="18" w:space="1"/>
      </w:pBdr>
      <w:rPr>
        <w:rFonts w:hint="eastAsia"/>
        <w:lang w:eastAsia="zh-CN"/>
      </w:rPr>
    </w:pPr>
    <w: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2713355</wp:posOffset>
          </wp:positionH>
          <wp:positionV relativeFrom="paragraph">
            <wp:posOffset>-299085</wp:posOffset>
          </wp:positionV>
          <wp:extent cx="2524760" cy="436880"/>
          <wp:effectExtent l="0" t="0" r="5080" b="5080"/>
          <wp:wrapSquare wrapText="bothSides"/>
          <wp:docPr id="2" name="图片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24760" cy="436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9525</wp:posOffset>
          </wp:positionH>
          <wp:positionV relativeFrom="page">
            <wp:posOffset>0</wp:posOffset>
          </wp:positionV>
          <wp:extent cx="2035810" cy="2943225"/>
          <wp:effectExtent l="0" t="0" r="6350" b="13335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035810" cy="2943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8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2195195" cy="379730"/>
          <wp:effectExtent l="0" t="675005" r="0" b="697865"/>
          <wp:wrapNone/>
          <wp:docPr id="7" name="WordPictureWatermark3785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WordPictureWatermark37858" descr="logo"/>
                  <pic:cNvPicPr>
                    <a:picLocks noChangeAspect="1"/>
                  </pic:cNvPicPr>
                </pic:nvPicPr>
                <pic:blipFill>
                  <a:blip r:embed="rId1">
                    <a:lum bright="70000" contrast="-70000"/>
                  </a:blip>
                  <a:stretch>
                    <a:fillRect/>
                  </a:stretch>
                </pic:blipFill>
                <pic:spPr>
                  <a:xfrm rot="18900000">
                    <a:off x="0" y="0"/>
                    <a:ext cx="2195195" cy="379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0C61D9"/>
    <w:multiLevelType w:val="singleLevel"/>
    <w:tmpl w:val="970C61D9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D0856594"/>
    <w:multiLevelType w:val="singleLevel"/>
    <w:tmpl w:val="D0856594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4EB15633"/>
    <w:multiLevelType w:val="singleLevel"/>
    <w:tmpl w:val="4EB15633"/>
    <w:lvl w:ilvl="0" w:tentative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210"/>
  <w:drawingGridVerticalSpacing w:val="16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4MmJmZWM4N2NmNzM0ODc5NTJkMGZhNzZhNmI2ZDgifQ=="/>
    <w:docVar w:name="KSO_WPS_MARK_KEY" w:val="79089467-3bee-4681-861d-f9631a0da480"/>
  </w:docVars>
  <w:rsids>
    <w:rsidRoot w:val="47C8753F"/>
    <w:rsid w:val="01075CF7"/>
    <w:rsid w:val="02446E5F"/>
    <w:rsid w:val="059F2961"/>
    <w:rsid w:val="08AE04BC"/>
    <w:rsid w:val="08FB3222"/>
    <w:rsid w:val="0A134A32"/>
    <w:rsid w:val="0BB974D9"/>
    <w:rsid w:val="0D5132EE"/>
    <w:rsid w:val="0F7836C8"/>
    <w:rsid w:val="104A57CB"/>
    <w:rsid w:val="12FD2773"/>
    <w:rsid w:val="1A706231"/>
    <w:rsid w:val="1F1F3E04"/>
    <w:rsid w:val="225E436D"/>
    <w:rsid w:val="232C5010"/>
    <w:rsid w:val="271E68EA"/>
    <w:rsid w:val="2A1B33C4"/>
    <w:rsid w:val="2B21020B"/>
    <w:rsid w:val="2C5F4657"/>
    <w:rsid w:val="2EC15E6E"/>
    <w:rsid w:val="3017442A"/>
    <w:rsid w:val="3099469E"/>
    <w:rsid w:val="31207743"/>
    <w:rsid w:val="32C27BFA"/>
    <w:rsid w:val="330D3EE2"/>
    <w:rsid w:val="350B742E"/>
    <w:rsid w:val="35B052B6"/>
    <w:rsid w:val="38C169DE"/>
    <w:rsid w:val="38DF39E6"/>
    <w:rsid w:val="38FB2514"/>
    <w:rsid w:val="3CC75BB8"/>
    <w:rsid w:val="3F635F92"/>
    <w:rsid w:val="3FF47036"/>
    <w:rsid w:val="44B21045"/>
    <w:rsid w:val="45C05AD2"/>
    <w:rsid w:val="463E7803"/>
    <w:rsid w:val="4654512D"/>
    <w:rsid w:val="46DA2348"/>
    <w:rsid w:val="47C8753F"/>
    <w:rsid w:val="483C0A95"/>
    <w:rsid w:val="48673DCF"/>
    <w:rsid w:val="49A36DCB"/>
    <w:rsid w:val="4A6C51FB"/>
    <w:rsid w:val="4C986E85"/>
    <w:rsid w:val="4D751BF6"/>
    <w:rsid w:val="4DAE08AE"/>
    <w:rsid w:val="584E02E8"/>
    <w:rsid w:val="5ACB1A0A"/>
    <w:rsid w:val="5ACF6A38"/>
    <w:rsid w:val="5C337192"/>
    <w:rsid w:val="5D0225B5"/>
    <w:rsid w:val="5EE94B54"/>
    <w:rsid w:val="5FEC48FC"/>
    <w:rsid w:val="60986209"/>
    <w:rsid w:val="627F5B95"/>
    <w:rsid w:val="62A74FA7"/>
    <w:rsid w:val="638731A6"/>
    <w:rsid w:val="64C179D9"/>
    <w:rsid w:val="697021CC"/>
    <w:rsid w:val="6E7E3557"/>
    <w:rsid w:val="767B4F1E"/>
    <w:rsid w:val="76D52398"/>
    <w:rsid w:val="78F511B3"/>
    <w:rsid w:val="7A96753D"/>
    <w:rsid w:val="7E9E4A4D"/>
    <w:rsid w:val="7F3B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1"/>
    <w:rPr>
      <w:rFonts w:ascii="等线" w:hAnsi="等线" w:eastAsia="等线" w:cs="等线"/>
      <w:sz w:val="21"/>
      <w:szCs w:val="21"/>
      <w:lang w:val="fr-FR" w:eastAsia="fr-FR" w:bidi="fr-FR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572</Words>
  <Characters>707</Characters>
  <Lines>0</Lines>
  <Paragraphs>0</Paragraphs>
  <TotalTime>0</TotalTime>
  <ScaleCrop>false</ScaleCrop>
  <LinksUpToDate>false</LinksUpToDate>
  <CharactersWithSpaces>726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2021-08-16T14:23:00Z</dcterms:created>
  <dc:creator>寻路人</dc:creator>
  <cp:lastModifiedBy>＄@＃</cp:lastModifiedBy>
  <cp:lastPrinted>2021-09-14T09:24:00Z</cp:lastPrinted>
  <dcterms:modified xsi:type="dcterms:W3CDTF">2026-06-08T05:08:56Z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7C38690769FB4B4986C7E0854ACC9436_13</vt:lpwstr>
  </property>
  <property fmtid="{D5CDD505-2E9C-101B-9397-08002B2CF9AE}" pid="4" name="KSOTemplateDocerSaveRecord">
    <vt:lpwstr>eyJoZGlkIjoiNGE4MmJmZWM4N2NmNzM0ODc5NTJkMGZhNzZhNmI2ZDgiLCJ1c2VySWQiOiI2OTYyMTYzMjYifQ==</vt:lpwstr>
  </property>
</Properties>
</file>