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20"/>
        <w:jc w:val="center"/>
      </w:pPr>
      <w:r>
        <w:drawing>
          <wp:inline distT="0" distB="0" distL="0" distR="0">
            <wp:extent cx="2381250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30"/>
          <w:szCs w:val="30"/>
        </w:rPr>
        <w:t xml:space="preserve">OSIE0004</w:t>
      </w:r>
    </w:p>
    <w:p>
      <w:pPr>
        <w:spacing w:after="180" w:before="0" w:line="52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48"/>
          <w:szCs w:val="48"/>
        </w:rPr>
        <w:t xml:space="preserve">OmicSolution Worker 与 OSIE0004 柱温箱控制使用说明</w:t>
      </w:r>
    </w:p>
    <w:p>
      <w:pPr>
        <w:spacing w:after="62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27"/>
          <w:szCs w:val="27"/>
        </w:rPr>
        <w:t xml:space="preserve">柱温箱专项操作、安全联锁、记录导出与 Worker 功能概览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文档版本</w:t>
            </w:r>
          </w:p>
        </w:tc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发布日期</w:t>
            </w:r>
          </w:p>
        </w:tc>
        <w:tc>
          <w:tcPr>
            <w:tcW w:type="pct" w:w="5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适用对象</w:t>
            </w:r>
          </w:p>
        </w:tc>
      </w:tr>
      <w:tr>
        <w:tc>
          <w:tcPr>
            <w:tcW w:type="pct" w:w="2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1.0</w:t>
            </w:r>
          </w:p>
        </w:tc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2026-08-27</w:t>
            </w:r>
          </w:p>
        </w:tc>
        <w:tc>
          <w:tcPr>
            <w:tcW w:type="pct" w:w="5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OSIE0004 柱温箱使用者、平台管理员、实验室负责人</w:t>
            </w:r>
          </w:p>
        </w:tc>
      </w:tr>
    </w:tbl>
    <w:p>
      <w:pPr>
        <w:spacing w:after="52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147D72" w:sz="18"/>
              <w:bottom w:val="single" w:color="D6E1E8" w:sz="4"/>
              <w:right w:val="single" w:color="D6E1E8" w:sz="4"/>
            </w:tcBorders>
            <w:shd w:fill="EAF5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147D72"/>
                <w:sz w:val="21"/>
                <w:szCs w:val="21"/>
              </w:rPr>
              <w:t xml:space="preserve">适用软件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OmicSolution Spectronaut Pipeline Pro Worker v260827_fix1 或更新版本。实际运行版本可在 Worker 界面顶部的“运行版本”标识中查看。</w:t>
            </w:r>
          </w:p>
        </w:tc>
      </w:tr>
    </w:tbl>
    <w:p>
      <w:pPr>
        <w:spacing w:after="60" w:before="64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5D6B78"/>
          <w:sz w:val="21"/>
          <w:szCs w:val="21"/>
        </w:rPr>
        <w:t xml:space="preserve">上海易算生物科技有限公司</w:t>
      </w:r>
    </w:p>
    <w:p>
      <w:pPr>
        <w:spacing w:after="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仅供科研与实验室设备控制使用</w:t>
      </w:r>
    </w:p>
    <w:p>
      <w:r>
        <w:br w:type="page"/>
      </w:r>
    </w:p>
    <w:p>
      <w:pPr>
        <w:pStyle w:val="Heading1"/>
        <w:keepNext/>
        <w:spacing w:after="120" w:before="300"/>
      </w:pPr>
      <w:r>
        <w:t xml:space="preserve">文档导航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本说明按“先安全、后连接、再控制、最后复盘”的顺序组织。首次使用建议完整阅读；日常操作可直接查看快速开始和故障排查。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1. 重要安全边界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2. 8 步快速开始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3. 系统组成与状态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4. 首次连接与 USB 自动识别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5. 日常温控操作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6. 温度曲线与数据导出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7. 告警与通知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8. PID 高级参数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9. Master 远程查看与控制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10. Worker 其他功能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11. 故障排查</w:t>
      </w:r>
    </w:p>
    <w:p>
      <w:pPr>
        <w:spacing w:after="80" w:before="0" w:line="330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17324D"/>
          <w:sz w:val="21"/>
          <w:szCs w:val="21"/>
        </w:rPr>
        <w:t xml:space="preserve">12. 记录、维护与售后</w:t>
      </w:r>
    </w:p>
    <w:p>
      <w:r>
        <w:br w:type="page"/>
      </w:r>
    </w:p>
    <w:p>
      <w:pPr>
        <w:pStyle w:val="Heading1"/>
        <w:keepNext/>
        <w:spacing w:after="120" w:before="300"/>
      </w:pPr>
      <w:r>
        <w:t xml:space="preserve">1. 重要安全边界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B42318" w:sz="18"/>
              <w:bottom w:val="single" w:color="D6E1E8" w:sz="4"/>
              <w:right w:val="single" w:color="D6E1E8" w:sz="4"/>
            </w:tcBorders>
            <w:shd w:fill="FCE8E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42318"/>
                <w:sz w:val="21"/>
                <w:szCs w:val="21"/>
              </w:rPr>
              <w:t xml:space="preserve">关闭加热不等于整机断电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软件发送 ENABLE=0，仅关闭控制器的加热输出，不切断柱温箱市电。需要断电时，请按实验室电气安全规程操作物理电源；任何外接继电器或智能插座均须单独验证并设置硬件联锁。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OSIE0004 的软件控制以设备返回的实时遥测和命令确认作为依据。界面按钮只是操作入口，警告阈值、硬上限、报警锁定和停止保护由 Worker 服务端再次校验。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风险点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软件行为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使用者要求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高温设定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超过警告阈值时，设定温度和开启加热分别要求明确确认；超过硬上限直接阻止。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同时核对柱温箱、色谱柱、流路和耗材允许温度。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实测温度超限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产生 critical 报警；如启用自动保护，Worker 尝试关闭加热输出并记录结果。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立即查看设备与流路状态；不要只依赖软件保护。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通信中断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连接失效并按设定间隔重连；未确认的控制命令不会被视为成功。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检查 USB/串口、驱动和设备供电，确认真实温度与加热状态。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停止监控/退出 Worker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先确认加热输出关闭；未确认时阻止普通停止或退出。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不要强制退出；若必须强制退出，先人工确认设备安全。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远程控制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默认关闭；必须由 Worker 本机授权。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远程控制前确认现场有人、设备可控且告警链路有效。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2. 8 步快速开始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将 OSIE0004 接通电源，并用 USB/串口线连接运行 Worker 的 Windows 电脑。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启动 OmicSolution Worker，确认顶部“运行版本”为当前安装版本。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进入“设置 → Worker 角色”，启用“柱温箱”角色；进入柱温箱设置并启用模块。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点击“刷新串口”，选择 OSIE0004 对应的 COM 口；按需要设置自动监控、远程控制与超温自动关闭。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设置警告阈值、硬上限、实测温度报警阈值、重连间隔和日志间隔，然后点击“保存设置”。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进入“柱温箱”页面，点击“启动监控”。等待界面显示“设备已连接”并出现当前温度和设备设定温度。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输入目标温度并点击“应用设定温度”；确认设备回执后再点击“开启加热”。启动监控本身不会开启加热。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实验结束后点击“关闭加热”，确认设备已返回关闭状态；按需导出温度/事件 CSV 或图像，再停止监控。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1-worker-running-monitor.png" descr="先核对设备已连接、当前/设定温度和加热状态，再查看曲线；加热已开启时“开启加热”自动禁用，只保留“关闭加热”。" title="正常运行时的柱温箱监控总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图：正常运行时的柱温箱监控总览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先核对设备已连接、当前/设定温度和加热状态，再查看曲线；加热已开启时“开启加热”自动禁用，只保留“关闭加热”。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B76E00" w:sz="18"/>
              <w:bottom w:val="single" w:color="D6E1E8" w:sz="4"/>
              <w:right w:val="single" w:color="D6E1E8" w:sz="4"/>
            </w:tcBorders>
            <w:shd w:fill="FFF1D8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76E00"/>
                <w:sz w:val="21"/>
                <w:szCs w:val="21"/>
              </w:rPr>
              <w:t xml:space="preserve">判断操作是否成功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以状态卡、设备遥测和柱温箱日志为准。仅出现“命令已排队”不代表设备已经执行；必须等待 Worker 与控制器确认。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3. 系统组成与状态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组成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职责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离线/远程边界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OSIE0004 控制器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执行温度设定、PID 和加热输出命令，返回实时温度与状态。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真实设备状态的最终来源。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OmicSolution Worker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连接串口、记录遥测、执行安全校验、保存事件、提供本机控制。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Master 离线时仍可本机监控和控制。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Master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集中查看 Worker 与柱温箱状态；在 Worker 授权后提交远程控制命令。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不能绕过 Worker 本机安全配置。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App / 企业微信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接收已配置的温度异常与恢复通知。</w:t>
            </w:r>
          </w:p>
        </w:tc>
        <w:tc>
          <w:tcPr>
            <w:tcW w:type="pct" w:w="3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依赖账号、网络、Webhook 和通知策略。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页面上的“启动监控/停止监控”和“开启加热/关闭加热”是两组不同状态。监控只负责连接、采样和记录；加热输出只有在监控正常、温度有效且安全校验通过后才允许开启。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0-worker-role-enabled.png" descr="“角色能力”页用于复核本机启用的模块；柱温箱可单独启用，不要求同时启用 Spectronaut 检索或数据同步。" title="Worker 角色能力中已启用柱温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图：Worker 角色能力中已启用柱温箱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“角色能力”页用于复核本机启用的模块；柱温箱可单独启用，不要求同时启用 Spectronaut 检索或数据同步。</w:t>
      </w:r>
    </w:p>
    <w:p>
      <w:pPr>
        <w:pStyle w:val="Heading1"/>
        <w:keepNext/>
        <w:spacing w:after="120" w:before="300"/>
      </w:pPr>
      <w:r>
        <w:t xml:space="preserve">4. 首次连接与 USB 自动识别</w:t>
      </w:r>
    </w:p>
    <w:p>
      <w:pPr>
        <w:pStyle w:val="Heading2"/>
        <w:keepNext/>
        <w:spacing w:after="120" w:before="180"/>
      </w:pPr>
      <w:r>
        <w:t xml:space="preserve">4.1 选择设备串口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进入柱温箱页面，展开“设备串口与安全设置”。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点击“刷新串口”，在列表中选择设备对应的 COM 口。若列表为空，检查设备供电、USB 线、Windows 驱动和设备管理器。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点击“保存设置”。保存时会记录该 USB 串口设备的身份信息。</w:t>
      </w:r>
    </w:p>
    <w:p>
      <w:pPr>
        <w:pStyle w:val="Heading2"/>
        <w:keepNext/>
        <w:spacing w:after="120" w:before="180"/>
      </w:pPr>
      <w:r>
        <w:t xml:space="preserve">4.2 COM 号变化后的自动切换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同一设备更换 USB 接口或 Windows 重新分配 COM 号后，Worker 会按已保存的 USB 身份匹配设备并切换到新端口。自动匹配只在身份能够唯一确认时执行；若连接了多个相同设备或身份信息不完整，请人工选择并重新保存。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3-device-port-and-safety-settings.png" descr="在此选择 COM 口、启用自动监控/远程授权/超温自动关闭，并设置警告阈值、硬上限、报警阈值和日志间隔；修改后必须保存。" title="设备串口与安全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图：设备串口与安全设置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在此选择 COM 口、启用自动监控/远程授权/超温自动关闭，并设置警告阈值、硬上限、报警阈值和日志间隔；修改后必须保存。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B76E00" w:sz="18"/>
              <w:bottom w:val="single" w:color="D6E1E8" w:sz="4"/>
              <w:right w:val="single" w:color="D6E1E8" w:sz="4"/>
            </w:tcBorders>
            <w:shd w:fill="FFF1D8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76E00"/>
                <w:sz w:val="21"/>
                <w:szCs w:val="21"/>
              </w:rPr>
              <w:t xml:space="preserve">不要按旧 COM 号猜测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自动切换后，以柱温箱页面显示的当前端口和“设备已连接”为准。无法确认时停止控制并人工核对。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5. 日常温控操作</w:t>
      </w:r>
    </w:p>
    <w:p>
      <w:pPr>
        <w:pStyle w:val="Heading2"/>
        <w:keepNext/>
        <w:spacing w:after="120" w:before="180"/>
      </w:pPr>
      <w:r>
        <w:t xml:space="preserve">5.1 启动监控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按钮可用的前提是：柱温箱角色已启用、模块设置已保存、已选择串口、当前没有启动/停止过渡。启动成功后会读取 P、I、D、控制周期、设备设定温度、实测温度和加热状态。</w:t>
      </w:r>
    </w:p>
    <w:p>
      <w:pPr>
        <w:pStyle w:val="Heading2"/>
        <w:keepNext/>
        <w:spacing w:after="120" w:before="180"/>
      </w:pPr>
      <w:r>
        <w:t xml:space="preserve">5.2 设置温度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核对当前连接设备和实测温度。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输入目标温度并点击“应用设定温度”。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若超过警告阈值，阅读提示并确认设备、色谱柱、流路和耗材均允许该温度；超过硬上限时不能继续。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等待设备返回确认，核对页面上的设备设定温度。</w:t>
      </w:r>
    </w:p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4-high-temperature-confirmation.png" descr="确认框同时列出目标温度、警告阈值和硬上限。只有核对设备、色谱柱和流路允许温度后才能确认；超过硬上限时不会出现可继续路径。" title="超过警告阈值时的高温确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图：超过警告阈值时的高温确认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确认框同时列出目标温度、警告阈值和硬上限。只有核对设备、色谱柱和流路允许温度后才能确认；超过硬上限时不会出现可继续路径。</w:t>
      </w:r>
    </w:p>
    <w:p>
      <w:pPr>
        <w:pStyle w:val="Heading2"/>
        <w:keepNext/>
        <w:spacing w:after="120" w:before="180"/>
      </w:pPr>
      <w:r>
        <w:t xml:space="preserve">5.3 开启/关闭加热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设备已确认加热时，“开启加热”不可重复点击；设备已确认关闭时，“关闭加热”不可重复点击。开启加热前必须有有效的实测温度和设备设定温度；报警未恢复、目标温度未知或高温确认与当前目标不一致时，操作会被阻止。</w:t>
      </w:r>
    </w:p>
    <w:p>
      <w:pPr>
        <w:pStyle w:val="Heading2"/>
        <w:keepNext/>
        <w:spacing w:after="120" w:before="180"/>
      </w:pPr>
      <w:r>
        <w:t xml:space="preserve">5.4 停止监控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停止监控前 Worker 会先关闭并确认加热输出。若设备断线且无法确认关闭，普通停止会被阻止。此时应先恢复连接或在现场确认设备安全，不应直接强制退出。</w:t>
      </w:r>
    </w:p>
    <w:p>
      <w:pPr>
        <w:pStyle w:val="Heading1"/>
        <w:keepNext/>
        <w:spacing w:after="120" w:before="300"/>
      </w:pPr>
      <w:r>
        <w:t xml:space="preserve">6. 温度曲线与数据导出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功能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用途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注意事项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时间范围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最近 5/15/30 分钟、1 小时、全部记录或自定义起止时间。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筛选只改变显示与导出范围，不删除原始记录。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显示模式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折线、点图、折线+点；可显示/隐藏设定温度与网格。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点图适合检查采样离散性；折线适合日常趋势。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样式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字体、字号、实测/设定颜色、线宽、点大小。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样式仅影响当前视图和图像导出。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状态特效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加热显示热流、持续降温显示冰晶/霜点、最新采样点呼吸、报警增强红色提示。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系统开启“减少动态效果”时会自动停用动画。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CSV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导出筛选后的温度遥测或事件日志。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用于审计、复盘和表格分析。</w:t>
            </w:r>
          </w:p>
        </w:tc>
      </w:tr>
      <w:tr>
        <w:tc>
          <w:tcPr>
            <w:tcW w:type="pct" w:w="2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PNG / SVG</w:t>
            </w:r>
          </w:p>
        </w:tc>
        <w:tc>
          <w:tcPr>
            <w:tcW w:type="pct" w:w="44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导出当前曲线；SVG 为矢量格式。</w:t>
            </w:r>
          </w:p>
        </w:tc>
        <w:tc>
          <w:tcPr>
            <w:tcW w:type="pct" w:w="36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导出前先确认时间范围、图例与颜色。</w:t>
            </w:r>
          </w:p>
        </w:tc>
      </w:tr>
    </w:tbl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2-temperature-chart-and-export.png" descr="可调整时间范围、显示模式、字体、颜色、线宽、点大小和网格，并导出温度 CSV、PNG 或 SVG；这些设置不改变原始遥测。" title="温度曲线显示与导出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图：温度曲线显示与导出设置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可调整时间范围、显示模式、字体、颜色、线宽、点大小和网格，并导出温度 CSV、PNG 或 SVG；这些设置不改变原始遥测。</w:t>
      </w:r>
    </w:p>
    <w:p>
      <w:pPr>
        <w:pStyle w:val="Heading1"/>
        <w:keepNext/>
        <w:spacing w:after="120" w:before="300"/>
      </w:pPr>
      <w:r>
        <w:t xml:space="preserve">7. 告警与通知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当实测温度达到或超过报警阈值时，界面出现显著红色报警。新报警会将程序窗口置前并播放本机提示音；使用者可“确认并静音本次”，但红色状态会保留到温度恢复到阈值以下。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阶段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本机表现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外部通知</w:t>
            </w:r>
          </w:p>
        </w:tc>
      </w:tr>
      <w:tr>
        <w:tc>
          <w:tcPr>
            <w:tcW w:type="pct" w:w="1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新异常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红色 critical 报警、窗口置前、声音提示、记录当前值/阈值。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登录账号且已启用对应渠道时，发送 App / 企业微信机器人通知。</w:t>
            </w:r>
          </w:p>
        </w:tc>
      </w:tr>
      <w:tr>
        <w:tc>
          <w:tcPr>
            <w:tcW w:type="pct" w:w="1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已确认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停止本次重复声音；仍显示红色报警。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按冷却时间去重，避免同一持续异常刷屏。</w:t>
            </w:r>
          </w:p>
        </w:tc>
      </w:tr>
      <w:tr>
        <w:tc>
          <w:tcPr>
            <w:tcW w:type="pct" w:w="1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恢复</w:t>
            </w:r>
          </w:p>
        </w:tc>
        <w:tc>
          <w:tcPr>
            <w:tcW w:type="pct" w:w="4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温度回到阈值以下后清除活动报警并记录恢复。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启用恢复通知时发送恢复消息。</w:t>
            </w:r>
          </w:p>
        </w:tc>
      </w:tr>
    </w:tbl>
    <w:p>
      <w:pPr>
        <w:keepNext/>
        <w:spacing w:after="70" w:before="180"/>
        <w:jc w:val="center"/>
      </w:pPr>
      <w:r>
        <w:drawing>
          <wp:inline distT="0" distB="0" distL="0" distR="0">
            <wp:extent cx="6000750" cy="3371850"/>
            <wp:effectExtent t="0" r="0" b="0" l="0"/>
            <wp:docPr id="1" name="05-temperature-alarm.png" descr="顶部 critical 报警与柱温箱页内报警同时显示当前温度和阈值；本例中加热输出已自动关闭，但使用者仍需现场确认设备与流路安全。" title="实测温度超限后的显著报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45" w:before="0" w:line="330"/>
        <w:jc w:val="center"/>
      </w:pPr>
      <w:r>
        <w:rPr>
          <w:rFonts w:ascii="Microsoft YaHei" w:cs="Microsoft YaHei" w:eastAsia="Microsoft YaHei" w:hAnsi="Microsoft YaHei"/>
          <w:b/>
          <w:bCs/>
          <w:i w:val="false"/>
          <w:iCs w:val="false"/>
          <w:color w:val="007F9E"/>
          <w:sz w:val="21"/>
          <w:szCs w:val="21"/>
        </w:rPr>
        <w:t xml:space="preserve">图：实测温度超限后的显著报警</w:t>
      </w:r>
    </w:p>
    <w:p>
      <w:pPr>
        <w:spacing w:after="160" w:before="0" w:line="330"/>
        <w:jc w:val="center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5D6B78"/>
          <w:sz w:val="18"/>
          <w:szCs w:val="18"/>
        </w:rPr>
        <w:t xml:space="preserve">顶部 critical 报警与柱温箱页内报警同时显示当前温度和阈值；本例中加热输出已自动关闭，但使用者仍需现场确认设备与流路安全。</w:t>
      </w:r>
    </w:p>
    <w:p>
      <w:pPr>
        <w:pStyle w:val="Heading2"/>
        <w:keepNext/>
        <w:spacing w:after="120" w:before="180"/>
      </w:pPr>
      <w:r>
        <w:t xml:space="preserve">7.1 配置通知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使用已授权账号登录。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使用模拟或受控方式确认本机红色报警、窗口置前和一次提示音能够正常触发；这些是 critical 报警的固定本机行为，不需要单独开启。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如需外部通知，登录账号后启用 App 或企业微信渠道，并按管理员提供的信息配置 Webhook；密钥字段保存后不应在截图或工单正文中公开。</w:t>
      </w:r>
    </w:p>
    <w:p>
      <w:pPr>
        <w:pStyle w:val="ListParagraph"/>
        <w:numPr>
          <w:ilvl w:val="0"/>
          <w:numId w:val="2"/>
        </w:numPr>
        <w:spacing w:after="90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设置告警冷却时间和恢复通知并保存，再用受控方式验证外部收件端。</w:t>
      </w:r>
    </w:p>
    <w:p>
      <w:pPr>
        <w:pStyle w:val="Heading1"/>
        <w:keepNext/>
        <w:spacing w:after="120" w:before="300"/>
      </w:pPr>
      <w:r>
        <w:t xml:space="preserve">8. PID 高级参数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B76E00" w:sz="18"/>
              <w:bottom w:val="single" w:color="D6E1E8" w:sz="4"/>
              <w:right w:val="single" w:color="D6E1E8" w:sz="4"/>
            </w:tcBorders>
            <w:shd w:fill="FFF1D8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B76E00"/>
                <w:sz w:val="21"/>
                <w:szCs w:val="21"/>
              </w:rPr>
              <w:t xml:space="preserve">仅限具备权限的人员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P、I、D 和控制周期会直接影响温控响应。常规用户应沿用经验证的设备参数；未经验证不要为了“升温更快”而随意调整。</w:t>
            </w:r>
          </w:p>
        </w:tc>
      </w:tr>
    </w:tbl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应用 PID 时，Worker 依次发送并等待四项参数确认。任一命令失败会停止后续更新，并在日志中指出完成到第几项。修改后应使用空载或受控条件观察超调、稳态误差和稳定时间，再决定是否用于正式实验。</w:t>
      </w:r>
    </w:p>
    <w:p>
      <w:pPr>
        <w:pStyle w:val="Heading1"/>
        <w:keepNext/>
        <w:spacing w:after="120" w:before="300"/>
      </w:pPr>
      <w:r>
        <w:t xml:space="preserve">9. Master 远程查看与控制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Master 可集中查看 Worker 的连接、温度、设定值、加热状态和报警。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远程控制默认关闭，必须在 Worker 本机勾选“允许 Master 远程控制”并保存。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远程命令通过持久化 Worker 命令队列发送；“排队”不等于设备执行成功。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高温确认、硬上限、报警锁定、通信确认和安全停机等规则在远程模式下同样生效。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关闭远程控制后，Master 仍可查看状态，但不能改变设定温度、PID 或加热输出。</w:t>
      </w:r>
    </w:p>
    <w:p>
      <w:pPr>
        <w:pStyle w:val="Heading1"/>
        <w:keepNext/>
        <w:spacing w:after="120" w:before="300"/>
      </w:pPr>
      <w:r>
        <w:t xml:space="preserve">10. Worker 其他功能</w:t>
      </w:r>
    </w:p>
    <w:p>
      <w:pPr>
        <w:spacing w:after="130" w:before="0" w:line="33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柱温箱是独立 Worker 角色，不依赖 Spectronaut 检索、实时分析或数据同步角色。管理员可按电脑用途组合启用以下能力：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Worker 能力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主要用途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与柱温箱的关系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基础 Worker / Cluster 连接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向 Master 汇报在线状态、版本、资源与任务，接收授权命令。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用于集中查看和可选远程控制。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Spectronaut 检索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在指定 Spectronaut 版本下执行分布式搜索与结果步骤。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相互独立，可在同一 Worker 按资源策略运行。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仪器数据监控与 LAN/PDS 同步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监控数据目录、同步文件并记录校验状态。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相互独立；适合仪器电脑或数据中转节点。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实时分析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监控稳定 RAW/.d/HTRMS 数据并触发 directDIA/cohortDIA 等流程。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相互独立；温度告警不会被分析任务替代。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Proxy Monitor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监控本机网络代理入口、规则和恢复状态。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相互独立，仅在确有代理需求的电脑启用。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在线更新与日志</w:t>
            </w:r>
          </w:p>
        </w:tc>
        <w:tc>
          <w:tcPr>
            <w:tcW w:type="pct" w:w="43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显示当前运行版本、下载/安装兼容更新、查看运行事件。</w:t>
            </w:r>
          </w:p>
        </w:tc>
        <w:tc>
          <w:tcPr>
            <w:tcW w:type="pct" w:w="3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更新前应先结束加热和监控，确认设备安全。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11. 故障排查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现象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先检查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处理建议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刷新后没有串口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设备供电、USB 线、Windows 驱动、设备管理器。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重新连接并刷新；仍无端口时联系设备管理员。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启动监控按钮不可用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角色/模块是否启用、设置是否已保存、是否已选串口。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完成配置并保存；等待启动/停止过渡结束。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监控启动但未显示温度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连接状态、串口是否被其他程序占用、柱温箱日志。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关闭占用程序，核对端口并等待重连。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设定温度被阻止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是否超过硬上限、是否缺少高温确认。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不要绕过硬上限；按设备和流路允许范围重新设定。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无法开启加热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设备设定温度/实测温度是否有效，是否有活动报警。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先恢复遥测或等待报警恢复，再重新核对。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无法停止监控/退出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设备是否断线、加热关闭是否收到确认。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恢复连接并关闭加热；现场确认前不要强制退出。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COM 号改变后未自动切换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保存的 USB 身份是否唯一；是否连接多个同类设备。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人工选择正确端口并重新保存。</w:t>
            </w:r>
          </w:p>
        </w:tc>
      </w:tr>
      <w:tr>
        <w:tc>
          <w:tcPr>
            <w:tcW w:type="pct" w:w="2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App/企业微信未收到报警</w:t>
            </w:r>
          </w:p>
        </w:tc>
        <w:tc>
          <w:tcPr>
            <w:tcW w:type="pct" w:w="35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账号登录、渠道开关、Webhook、网络、冷却时间。</w:t>
            </w:r>
          </w:p>
        </w:tc>
        <w:tc>
          <w:tcPr>
            <w:tcW w:type="pct" w:w="40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查看本机事件日志；在受控条件下重新验证通知链路。</w:t>
            </w:r>
          </w:p>
        </w:tc>
      </w:tr>
    </w:tbl>
    <w:p>
      <w:pPr>
        <w:pStyle w:val="Heading1"/>
        <w:keepNext/>
        <w:spacing w:after="120" w:before="300"/>
      </w:pPr>
      <w:r>
        <w:t xml:space="preserve">12. 记录、维护与售后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每次正式实验前记录 Worker 运行版本、OSIE0004 货号/设备编号、目标温度、阈值与关键 PID 参数。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实验后保存温度 CSV、事件 CSV 和必要的 PNG/SVG 曲线；文件名建议包含日期、项目、设备编号和运行批次。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提交售后工单时选择“易肽色谱柱及柱温箱 → 柱温箱 → OSIE0004”，并提供设备编号、发生时间、当前/设定温度、端口、日志和现场照片。</w:t>
      </w:r>
    </w:p>
    <w:p>
      <w:pPr>
        <w:pStyle w:val="ListParagraph"/>
        <w:numPr>
          <w:ilvl w:val="0"/>
          <w:numId w:val="1"/>
        </w:numPr>
        <w:spacing w:after="75" w:line="310"/>
      </w:pPr>
      <w:r>
        <w:rPr>
          <w:rFonts w:ascii="Microsoft YaHei" w:cs="Microsoft YaHei" w:eastAsia="Microsoft YaHei" w:hAnsi="Microsoft YaHei"/>
          <w:b w:val="false"/>
          <w:bCs w:val="false"/>
          <w:i w:val="false"/>
          <w:iCs w:val="false"/>
          <w:color w:val="17324D"/>
          <w:sz w:val="21"/>
          <w:szCs w:val="21"/>
        </w:rPr>
        <w:t xml:space="preserve">不要在截图或工单正文中公开账号凭据、企业微信 Webhook 或其他密钥。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D6E1E8" w:sz="4"/>
              <w:left w:val="single" w:color="147D72" w:sz="18"/>
              <w:bottom w:val="single" w:color="D6E1E8" w:sz="4"/>
              <w:right w:val="single" w:color="D6E1E8" w:sz="4"/>
            </w:tcBorders>
            <w:shd w:fill="EAF5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147D72"/>
                <w:sz w:val="21"/>
                <w:szCs w:val="21"/>
              </w:rPr>
              <w:t xml:space="preserve">硬件规格来源</w:t>
            </w:r>
          </w:p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21"/>
                <w:szCs w:val="21"/>
              </w:rPr>
              <w:t xml:space="preserve">额定电源、结构尺寸、工作环境、校准周期、色谱柱兼容尺寸及其他硬件参数，以 OSIE0004 铭牌、随货清单、检验/校准资料和最新售后通知为准。本软件说明不替代硬件安全文件。</w:t>
            </w:r>
          </w:p>
        </w:tc>
      </w:tr>
    </w:tbl>
    <w:p>
      <w:r>
        <w:br w:type="page"/>
      </w:r>
    </w:p>
    <w:p>
      <w:pPr>
        <w:pStyle w:val="Heading1"/>
        <w:keepNext/>
        <w:spacing w:after="120" w:before="300"/>
      </w:pPr>
      <w:r>
        <w:t xml:space="preserve">附录 A：软件通信要点（管理员参考）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项目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17324D" w:val="clear"/>
            <w:tcMar>
              <w:top w:type="dxa" w:w="115"/>
              <w:left w:type="dxa" w:w="140"/>
              <w:bottom w:type="dxa" w:w="11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当前实现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串口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115200 baud，8N1，ASCII 帧。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遥测字段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P、I、D、控制周期、设备设定温度、实测温度、加热输出。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控制确认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命令以 CRLF 结束；设备返回 OK 或 ERR 后，Worker 才结束本次控制动作。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断线处理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shd w:fill="F7FAFC" w:val="clear"/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超时、写入失败或协议错误会使当前连接代次失效并触发重连，避免旧回执确认新命令。</w:t>
            </w:r>
          </w:p>
        </w:tc>
      </w:tr>
      <w:tr>
        <w:tc>
          <w:tcPr>
            <w:tcW w:type="pct" w:w="28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温度记录</w:t>
            </w:r>
          </w:p>
        </w:tc>
        <w:tc>
          <w:tcPr>
            <w:tcW w:type="pct" w:w="72%"/>
            <w:tcBorders>
              <w:top w:val="single" w:color="D6E1E8" w:sz="4"/>
              <w:left w:val="single" w:color="D6E1E8" w:sz="4"/>
              <w:bottom w:val="single" w:color="D6E1E8" w:sz="4"/>
              <w:right w:val="single" w:color="D6E1E8" w:sz="4"/>
            </w:tcBorders>
            <w:tcMar>
              <w:top w:type="dxa" w:w="105"/>
              <w:left w:type="dxa" w:w="140"/>
              <w:bottom w:type="dxa" w:w="105"/>
              <w:right w:type="dxa" w:w="140"/>
            </w:tcMar>
          </w:tcPr>
          <w:p>
            <w:pPr>
              <w:spacing w:after="0" w:before="0" w:line="330"/>
            </w:pPr>
            <w:r>
              <w:rPr>
                <w:rFonts w:ascii="Microsoft YaHei" w:cs="Microsoft YaHei" w:eastAsia="Microsoft YaHei" w:hAnsi="Microsoft YaHei"/>
                <w:b w:val="false"/>
                <w:bCs w:val="false"/>
                <w:i w:val="false"/>
                <w:iCs w:val="false"/>
                <w:color w:val="17324D"/>
                <w:sz w:val="19"/>
                <w:szCs w:val="19"/>
              </w:rPr>
              <w:t xml:space="preserve">按保存的日志间隔记录；界面筛选与导出不改变原始记录。</w:t>
            </w:r>
          </w:p>
        </w:tc>
      </w:tr>
    </w:tbl>
    <w:sectPr>
      <w:footerReference w:type="default" r:id="rId7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icrosoft YaHei" w:cs="Microsoft YaHei" w:eastAsia="Microsoft YaHei" w:hAnsi="Microsoft YaHei"/>
        <w:b w:val="false"/>
        <w:bCs w:val="false"/>
        <w:i w:val="false"/>
        <w:iCs w:val="false"/>
        <w:color w:val="5D6B78"/>
        <w:sz w:val="17"/>
        <w:szCs w:val="17"/>
      </w:rPr>
      <w:t xml:space="preserve">OSIE0004 柱温箱控制使用说明  ·  </w:t>
    </w:r>
    <w:r>
      <w:rPr>
        <w:rFonts w:ascii="Microsoft YaHei" w:cs="Microsoft YaHei" w:eastAsia="Microsoft YaHei" w:hAnsi="Microsoft YaHei"/>
        <w:color w:val="5D6B78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  <w:lvl w:ilvl="1" w15:tentative="1">
      <w:start w:val="1"/>
      <w:numFmt w:val="lowerLetter"/>
      <w:lvlText w:val="%2)"/>
      <w:lvlJc w:val="left"/>
      <w:pPr>
        <w:ind w:left="7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color w:val="17324D"/>
        <w:sz w:val="21"/>
        <w:szCs w:val="21"/>
      </w:rPr>
    </w:rPrDefault>
    <w:pPrDefault>
      <w:pPr>
        <w:spacing w:line="33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spacing w:after="150" w:before="320"/>
    </w:pPr>
    <w:rPr>
      <w:rFonts w:ascii="Microsoft YaHei" w:cs="Microsoft YaHei" w:eastAsia="Microsoft YaHei" w:hAnsi="Microsoft YaHei"/>
      <w:b/>
      <w:bCs/>
      <w:color w:val="17324D"/>
      <w:sz w:val="34"/>
      <w:szCs w:val="34"/>
    </w:rPr>
  </w:style>
  <w:style w:type="paragraph" w:styleId="Heading2">
    <w:name w:val="Heading 2"/>
    <w:basedOn w:val="Normal"/>
    <w:next w:val="Normal"/>
    <w:qFormat/>
    <w:pPr>
      <w:keepNext/>
      <w:spacing w:after="110" w:before="230"/>
    </w:pPr>
    <w:rPr>
      <w:rFonts w:ascii="Microsoft YaHei" w:cs="Microsoft YaHei" w:eastAsia="Microsoft YaHei" w:hAnsi="Microsoft YaHei"/>
      <w:b/>
      <w:bCs/>
      <w:color w:val="007F9E"/>
      <w:sz w:val="27"/>
      <w:szCs w:val="27"/>
    </w:rPr>
  </w:style>
  <w:style w:type="paragraph" w:styleId="Heading3">
    <w:name w:val="Heading 3"/>
    <w:basedOn w:val="Normal"/>
    <w:next w:val="Normal"/>
    <w:qFormat/>
    <w:pPr>
      <w:keepNext/>
      <w:spacing w:after="90" w:before="180"/>
    </w:pPr>
    <w:rPr>
      <w:rFonts w:ascii="Microsoft YaHei" w:cs="Microsoft YaHei" w:eastAsia="Microsoft YaHei" w:hAnsi="Microsoft YaHei"/>
      <w:b/>
      <w:bCs/>
      <w:color w:val="147D72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d69d9d2cd3b96cc50d78071db48207e7f5e6db21.png"/><Relationship Id="rId9" Type="http://schemas.openxmlformats.org/officeDocument/2006/relationships/image" Target="media/31467285643d07f1d5017a0b37b949856383c570.png"/><Relationship Id="rId10" Type="http://schemas.openxmlformats.org/officeDocument/2006/relationships/image" Target="media/cc9c7a9a5d2c442e8ea40fb1732fc0aa3f84f4e3.png"/><Relationship Id="rId11" Type="http://schemas.openxmlformats.org/officeDocument/2006/relationships/image" Target="media/85cc52da8854982f45b4115bae9f085a61e7a234.png"/><Relationship Id="rId12" Type="http://schemas.openxmlformats.org/officeDocument/2006/relationships/image" Target="media/397398a3382a5c14a2bbb036e1048ffc3cf0443f.png"/><Relationship Id="rId13" Type="http://schemas.openxmlformats.org/officeDocument/2006/relationships/image" Target="media/2aba9295feb2b4025469e48795ff33788a3077ef.png"/><Relationship Id="rId14" Type="http://schemas.openxmlformats.org/officeDocument/2006/relationships/image" Target="media/2449126fdc947134f075166f8554b201c96fbc0f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2026-08-27T03:49:24.401Z</dcterms:created>
  <dcterms:modified xsi:type="dcterms:W3CDTF">2026-08-27T03:49:24.402Z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