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20"/>
        <w:jc w:val="center"/>
      </w:pPr>
      <w:r>
        <w:drawing>
          <wp:inline distT="0" distB="0" distL="0" distR="0">
            <wp:extent cx="23812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30"/>
          <w:szCs w:val="30"/>
        </w:rPr>
        <w:t xml:space="preserve">OSIE0004</w:t>
      </w:r>
    </w:p>
    <w:p>
      <w:pPr>
        <w:spacing w:after="180" w:before="0" w:line="52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48"/>
          <w:szCs w:val="48"/>
        </w:rPr>
        <w:t xml:space="preserve">OSIE0004 柱温箱产品介绍与软件控制说明</w:t>
      </w:r>
    </w:p>
    <w:p>
      <w:pPr>
        <w:spacing w:after="62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27"/>
          <w:szCs w:val="27"/>
        </w:rPr>
        <w:t xml:space="preserve">面向 OmicSolution 网站、产品资料中心与客户技术沟通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文档版本</w:t>
            </w:r>
          </w:p>
        </w:tc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发布日期</w:t>
            </w:r>
          </w:p>
        </w:tc>
        <w:tc>
          <w:tcPr>
            <w:tcW w:type="pct" w:w="5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适用对象</w:t>
            </w:r>
          </w:p>
        </w:tc>
      </w:tr>
      <w:t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1.0</w:t>
            </w:r>
          </w:p>
        </w:tc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2026-08-27</w:t>
            </w:r>
          </w:p>
        </w:tc>
        <w:tc>
          <w:tcPr>
            <w:tcW w:type="pct" w:w="5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采购/实验负责人、色谱平台主管、售前售后与网站内容维护人员</w:t>
            </w:r>
          </w:p>
        </w:tc>
      </w:tr>
    </w:tbl>
    <w:p>
      <w:pPr>
        <w:spacing w:after="52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D6E1E8" w:sz="4"/>
              <w:left w:val="single" w:color="147D72" w:sz="18"/>
              <w:bottom w:val="single" w:color="D6E1E8" w:sz="4"/>
              <w:right w:val="single" w:color="D6E1E8" w:sz="4"/>
            </w:tcBorders>
            <w:shd w:fill="EAF5F6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147D72"/>
                <w:sz w:val="21"/>
                <w:szCs w:val="21"/>
              </w:rPr>
              <w:t xml:space="preserve">适用软件</w:t>
            </w:r>
          </w:p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21"/>
                <w:szCs w:val="21"/>
              </w:rPr>
              <w:t xml:space="preserve">OmicSolution Spectronaut Pipeline Pro Worker v260827_fix1 或更新版本。实际运行版本可在 Worker 界面顶部的“运行版本”标识中查看。</w:t>
            </w:r>
          </w:p>
        </w:tc>
      </w:tr>
    </w:tbl>
    <w:p>
      <w:pPr>
        <w:spacing w:after="60" w:before="64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5D6B78"/>
          <w:sz w:val="21"/>
          <w:szCs w:val="21"/>
        </w:rPr>
        <w:t xml:space="preserve">上海易算生物科技有限公司</w:t>
      </w:r>
    </w:p>
    <w:p>
      <w:pPr>
        <w:spacing w:after="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仅供科研与实验室设备控制使用</w:t>
      </w:r>
    </w:p>
    <w:p>
      <w:r>
        <w:br w:type="page"/>
      </w:r>
    </w:p>
    <w:p>
      <w:pPr>
        <w:pStyle w:val="Heading1"/>
        <w:keepNext/>
        <w:spacing w:after="120" w:before="300"/>
      </w:pPr>
      <w:r>
        <w:t xml:space="preserve">文档导航</w:t>
      </w:r>
    </w:p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本说明按“先安全、后连接、再控制、最后复盘”的顺序组织。首次使用建议完整阅读；日常操作可直接查看快速开始和故障排查。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1. 产品身份与定位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2. 软件控制能力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3. 典型使用流程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4. 安全与质量边界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5. 部署与远程协同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6. 数据记录与告警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7. 网站产品介绍建议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8. 交付与支持信息</w:t>
      </w:r>
    </w:p>
    <w:p>
      <w:r>
        <w:br w:type="page"/>
      </w:r>
    </w:p>
    <w:p>
      <w:pPr>
        <w:pStyle w:val="Heading1"/>
        <w:keepNext/>
        <w:spacing w:after="120" w:before="300"/>
      </w:pPr>
      <w:r>
        <w:t xml:space="preserve">1. 产品身份与定位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项目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说明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产品名称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易肽 OSIE0004 柱温箱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货号/型号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OSIE0004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产品线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易肽色谱柱及柱温箱（与 IonOpticks HeatSync 产品线分开管理）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软件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OmicSolution Spectronaut Pipeline Pro Worker v260827_fix1 或更新版本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用途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为 LC-MS 色谱柱提供受控温度环境，并通过 Worker 完成串口监控、设定温度、PID、加热输出、安全阈值、趋势记录和告警。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适用边界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科研与实验室设备控制；具体硬件规格、安装条件与耗材兼容性以铭牌和随货资料为准。</w:t>
            </w:r>
          </w:p>
        </w:tc>
      </w:tr>
    </w:tbl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OSIE0004 的软件控制不是单独的演示页面，而是 Worker 的独立设备能力。它可以在 Master 离线时继续本机运行，也可以在现场授权后由 Master 集中查看或远程控制。</w:t>
      </w:r>
    </w:p>
    <w:p>
      <w:pPr>
        <w:keepNext/>
        <w:spacing w:after="70" w:before="180"/>
        <w:jc w:val="center"/>
      </w:pPr>
      <w:r>
        <w:drawing>
          <wp:inline distT="0" distB="0" distL="0" distR="0">
            <wp:extent cx="6000750" cy="3371850"/>
            <wp:effectExtent t="0" r="0" b="0" l="0"/>
            <wp:docPr id="1" name="01-worker-running-monitor.png" descr="状态总览、监控生命周期、实时温度、设定温度、加热输出与趋势记录集中在同一页面。" title="OSIE0004 正常运行监控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图：OSIE0004 正常运行监控界面</w:t>
      </w:r>
    </w:p>
    <w:p>
      <w:pPr>
        <w:spacing w:after="16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状态总览、监控生命周期、实时温度、设定温度、加热输出与趋势记录集中在同一页面。</w:t>
      </w:r>
    </w:p>
    <w:p>
      <w:pPr>
        <w:pStyle w:val="Heading1"/>
        <w:keepNext/>
        <w:spacing w:after="120" w:before="300"/>
      </w:pPr>
      <w:r>
        <w:t xml:space="preserve">2. 软件控制能力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能力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用户价值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控制原则</w:t>
            </w:r>
          </w:p>
        </w:tc>
      </w:tr>
      <w:t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实时温度与状态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同时显示当前温度、设备设定温度、加热状态和采样数量。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以设备遥测为准，不用按钮点击代替执行确认。</w:t>
            </w:r>
          </w:p>
        </w:tc>
      </w:tr>
      <w:t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设定温度与加热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分别设置温度和启停加热，避免启动监控时误加热。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高温二次确认、硬上限阻止、报警状态锁定。</w:t>
            </w:r>
          </w:p>
        </w:tc>
      </w:tr>
      <w:t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PID 高级参数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供授权人员按设备验证结果调整 P/I/D 与控制周期。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逐项发送并确认；任一失败即停止。</w:t>
            </w:r>
          </w:p>
        </w:tc>
      </w:tr>
      <w:t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USB 自动识别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保存设备身份，COM 号变化后自动匹配并切换。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身份无法唯一确认时要求人工选择。</w:t>
            </w:r>
          </w:p>
        </w:tc>
      </w:tr>
      <w:t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趋势与导出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时间筛选、折线/点图、颜色/字体设置、CSV、PNG、SVG 导出。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筛选不改变原始遥测。</w:t>
            </w:r>
          </w:p>
        </w:tc>
      </w:tr>
      <w:t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实时告警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红色显著提示、窗口置前、声音、确认静音、恢复状态。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温度恢复前保留报警；重复消息按冷却时间去重。</w:t>
            </w:r>
          </w:p>
        </w:tc>
      </w:tr>
      <w:t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外部通知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登录后可按配置发送 App 和企业微信机器人报警/恢复消息。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依赖网络、账号、Webhook 和通知策略。</w:t>
            </w:r>
          </w:p>
        </w:tc>
      </w:tr>
      <w:t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远程协同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Master 统一查看多台 Worker，并对授权设备提交控制命令。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远程控制默认关闭，不能绕过 Worker 本机安全规则。</w:t>
            </w:r>
          </w:p>
        </w:tc>
      </w:tr>
    </w:tbl>
    <w:p>
      <w:pPr>
        <w:pStyle w:val="Heading1"/>
        <w:keepNext/>
        <w:spacing w:after="120" w:before="300"/>
      </w:pPr>
      <w:r>
        <w:t xml:space="preserve">3. 典型使用流程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阶段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操作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可验证结果</w:t>
            </w:r>
          </w:p>
        </w:tc>
      </w:tr>
      <w:tr>
        <w:tc>
          <w:tcPr>
            <w:tcW w:type="pct" w:w="1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连接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设备上电、USB/串口连接、Worker 选择并保存端口。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页面显示匹配端口；下次 COM 号变化可自动识别。</w:t>
            </w:r>
          </w:p>
        </w:tc>
      </w:tr>
      <w:tr>
        <w:tc>
          <w:tcPr>
            <w:tcW w:type="pct" w:w="1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监控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启动柱温箱监控。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设备已连接，出现实时温度、设定温度和 PID。</w:t>
            </w:r>
          </w:p>
        </w:tc>
      </w:tr>
      <w:tr>
        <w:tc>
          <w:tcPr>
            <w:tcW w:type="pct" w:w="1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设定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输入目标温度，按阈值要求确认。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设备回传新的设定温度。</w:t>
            </w:r>
          </w:p>
        </w:tc>
      </w:tr>
      <w:tr>
        <w:tc>
          <w:tcPr>
            <w:tcW w:type="pct" w:w="1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加热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点击开启加热。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设备确认加热输出开启；趋势开始变化。</w:t>
            </w:r>
          </w:p>
        </w:tc>
      </w:tr>
      <w:tr>
        <w:tc>
          <w:tcPr>
            <w:tcW w:type="pct" w:w="1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运行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查看趋势、阈值、日志和告警。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温度记录持续增长，异常有本机/外部通知。</w:t>
            </w:r>
          </w:p>
        </w:tc>
      </w:tr>
      <w:tr>
        <w:tc>
          <w:tcPr>
            <w:tcW w:type="pct" w:w="1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结束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关闭加热、确认关闭、导出记录、停止监控。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加热状态为关闭，记录可追溯，监控安全停止。</w:t>
            </w:r>
          </w:p>
        </w:tc>
      </w:tr>
    </w:tbl>
    <w:p>
      <w:pPr>
        <w:keepNext/>
        <w:spacing w:after="70" w:before="180"/>
        <w:jc w:val="center"/>
      </w:pPr>
      <w:r>
        <w:drawing>
          <wp:inline distT="0" distB="0" distL="0" distR="0">
            <wp:extent cx="6000750" cy="3371850"/>
            <wp:effectExtent t="0" r="0" b="0" l="0"/>
            <wp:docPr id="1" name="03-device-port-and-safety-settings.png" descr="保存 USB 身份后可在 COM 号变化时自动匹配；阈值、自动关闭、远程控制和日志频率均在本机配置。" title="OSIE0004 连接与安全配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图：OSIE0004 连接与安全配置</w:t>
      </w:r>
    </w:p>
    <w:p>
      <w:pPr>
        <w:spacing w:after="16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保存 USB 身份后可在 COM 号变化时自动匹配；阈值、自动关闭、远程控制和日志频率均在本机配置。</w:t>
      </w:r>
    </w:p>
    <w:p>
      <w:pPr>
        <w:pStyle w:val="Heading1"/>
        <w:keepNext/>
        <w:spacing w:after="120" w:before="300"/>
      </w:pPr>
      <w:r>
        <w:t xml:space="preserve">4. 安全与质量边界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D6E1E8" w:sz="4"/>
              <w:left w:val="single" w:color="B42318" w:sz="18"/>
              <w:bottom w:val="single" w:color="D6E1E8" w:sz="4"/>
              <w:right w:val="single" w:color="D6E1E8" w:sz="4"/>
            </w:tcBorders>
            <w:shd w:fill="FCE8E6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42318"/>
                <w:sz w:val="21"/>
                <w:szCs w:val="21"/>
              </w:rPr>
              <w:t xml:space="preserve">软件关闭加热输出，不切断市电</w:t>
            </w:r>
          </w:p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21"/>
                <w:szCs w:val="21"/>
              </w:rPr>
              <w:t xml:space="preserve">Worker 当前只使用控制器协议关闭加热输出。整机断电、独立过温保护、漏电保护和实验室电气安全措施仍须由硬件和现场 SOP 提供。</w:t>
            </w:r>
          </w:p>
        </w:tc>
      </w:tr>
    </w:tbl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设定温度警告阈值用于要求人员复核，硬上限用于阻止不可接受的设定；两者可按已验证条件配置。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实测温度报警独立于设定温度；启用自动关闭后，Worker 会尝试关闭加热并记录设备确认。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通信中断、超时、写入失败或协议错误不会被当作成功；系统使连接失效并重连。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停止监控、移除柱温箱角色或退出 Worker 前先确认加热关闭。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软件告警不替代独立温度保护、现场巡视、设备校准和实验室应急程序。</w:t>
      </w:r>
    </w:p>
    <w:p>
      <w:pPr>
        <w:pStyle w:val="Heading1"/>
        <w:keepNext/>
        <w:spacing w:after="120" w:before="300"/>
      </w:pPr>
      <w:r>
        <w:t xml:space="preserve">5. 部署与远程协同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部署方式</w:t>
            </w:r>
          </w:p>
        </w:tc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适用场景</w:t>
            </w:r>
          </w:p>
        </w:tc>
        <w:tc>
          <w:tcPr>
            <w:tcW w:type="pct" w:w="37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特点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Worker 本机</w:t>
            </w:r>
          </w:p>
        </w:tc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单台柱温箱日常运行；Master 暂时不可用。</w:t>
            </w:r>
          </w:p>
        </w:tc>
        <w:tc>
          <w:tcPr>
            <w:tcW w:type="pct" w:w="37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本机连接、监控、控制、告警和记录保持可用。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Worker + Master</w:t>
            </w:r>
          </w:p>
        </w:tc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多设备集中值守和实验室统一管理。</w:t>
            </w:r>
          </w:p>
        </w:tc>
        <w:tc>
          <w:tcPr>
            <w:tcW w:type="pct" w:w="37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Master 查看状态；Worker 本机授权后可远程控制。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Worker + 通知渠道</w:t>
            </w:r>
          </w:p>
        </w:tc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夜间运行或无人持续盯屏。</w:t>
            </w:r>
          </w:p>
        </w:tc>
        <w:tc>
          <w:tcPr>
            <w:tcW w:type="pct" w:w="37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本机红色/声音告警，并可向 App/企业微信发送异常与恢复消息。</w:t>
            </w:r>
          </w:p>
        </w:tc>
      </w:tr>
    </w:tbl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柱温箱角色与 Spectronaut 检索、实时分析、数据同步、Proxy Monitor 等 Worker 角色相互独立。管理员可按电脑用途组合启用，但应评估 CPU、内存、磁盘、网络和人员值守条件。</w:t>
      </w:r>
    </w:p>
    <w:p>
      <w:pPr>
        <w:pStyle w:val="Heading1"/>
        <w:keepNext/>
        <w:spacing w:after="120" w:before="300"/>
      </w:pPr>
      <w:r>
        <w:t xml:space="preserve">6. 数据记录与告警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温度遥测记录包括时间、实测温度、设定温度和加热状态，可按时间范围筛选并导出 CSV。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事件日志记录连接、重连、配置变更、控制命令、设备拒绝、超时、报警、自动关闭与恢复。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曲线支持折线、点图或组合显示，并可导出 PNG 和 SVG，便于实验记录、报告或培训材料使用。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报警确认只静音本次提示；温度恢复前界面仍保持红色状态，避免把“已知晓”误当作“已恢复”。</w:t>
      </w:r>
    </w:p>
    <w:p>
      <w:pPr>
        <w:keepNext/>
        <w:spacing w:after="70" w:before="180"/>
        <w:jc w:val="center"/>
      </w:pPr>
      <w:r>
        <w:drawing>
          <wp:inline distT="0" distB="0" distL="0" distR="0">
            <wp:extent cx="6000750" cy="3371850"/>
            <wp:effectExtent t="0" r="0" b="0" l="0"/>
            <wp:docPr id="1" name="02-temperature-chart-and-export.png" descr="温度遥测可按时间范围复核，并以 CSV、PNG 或 SVG 形式纳入实验记录。" title="可筛选、可定制、可导出的温度趋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图：可筛选、可定制、可导出的温度趋势</w:t>
      </w:r>
    </w:p>
    <w:p>
      <w:pPr>
        <w:spacing w:after="16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温度遥测可按时间范围复核，并以 CSV、PNG 或 SVG 形式纳入实验记录。</w:t>
      </w:r>
    </w:p>
    <w:p>
      <w:pPr>
        <w:keepNext/>
        <w:spacing w:after="70" w:before="180"/>
        <w:jc w:val="center"/>
      </w:pPr>
      <w:r>
        <w:drawing>
          <wp:inline distT="0" distB="0" distL="0" distR="0">
            <wp:extent cx="6000750" cy="3371850"/>
            <wp:effectExtent t="0" r="0" b="0" l="0"/>
            <wp:docPr id="1" name="05-temperature-alarm.png" descr="本机红色报警、窗口置前和一次提示音固定触发；App / 企业微信通知按登录与渠道配置执行，恢复前仍保留报警状态。" title="OSIE0004 温度异常报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图：OSIE0004 温度异常报警</w:t>
      </w:r>
    </w:p>
    <w:p>
      <w:pPr>
        <w:spacing w:after="16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本机红色报警、窗口置前和一次提示音固定触发；App / 企业微信通知按登录与渠道配置执行，恢复前仍保留报警状态。</w:t>
      </w:r>
    </w:p>
    <w:p>
      <w:pPr>
        <w:pStyle w:val="Heading1"/>
        <w:keepNext/>
        <w:spacing w:after="120" w:before="300"/>
      </w:pPr>
      <w:r>
        <w:t xml:space="preserve">7. 网站产品介绍建议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D6E1E8" w:sz="4"/>
              <w:left w:val="single" w:color="147D72" w:sz="18"/>
              <w:bottom w:val="single" w:color="D6E1E8" w:sz="4"/>
              <w:right w:val="single" w:color="D6E1E8" w:sz="4"/>
            </w:tcBorders>
            <w:shd w:fill="EAF5F6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147D72"/>
                <w:sz w:val="21"/>
                <w:szCs w:val="21"/>
              </w:rPr>
              <w:t xml:space="preserve">推荐标题</w:t>
            </w:r>
          </w:p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21"/>
                <w:szCs w:val="21"/>
              </w:rPr>
              <w:t xml:space="preserve">OSIE0004 柱温箱：从温度设定到可追溯记录的一体化软件控制</w:t>
            </w:r>
          </w:p>
        </w:tc>
      </w:tr>
    </w:tbl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推荐摘要：OSIE0004 可通过 OmicSolution Worker 完成串口监控、温度设定、PID 与加热输出控制，并提供阈值保护、USB 自动识别、温度曲线、日志/图像导出和实时告警。设备可独立在 Worker 本机运行，也可在现场授权后接入 Master 集中监控。</w:t>
      </w:r>
    </w:p>
    <w:p>
      <w:pPr>
        <w:pStyle w:val="Heading2"/>
        <w:keepNext/>
        <w:spacing w:after="120" w:before="180"/>
      </w:pPr>
      <w:r>
        <w:t xml:space="preserve">7.1 页面应明确展示的四类信息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怎么连接：设备上电、USB/串口连接、选择并保存端口。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怎么操作：启动监控 → 设定温度 → 开启加热 → 查看趋势 → 关闭加热 → 停止监控。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怎么判断成功：设备连接、遥测、设定值和加热状态均需有控制器回执。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有哪些限制：关闭加热不等于断电；远程控制默认关闭；外部告警依赖账号、网络和渠道配置。</w:t>
      </w:r>
    </w:p>
    <w:p>
      <w:r>
        <w:br w:type="page"/>
      </w:r>
    </w:p>
    <w:p>
      <w:pPr>
        <w:pStyle w:val="Heading1"/>
        <w:keepNext/>
        <w:spacing w:after="120" w:before="300"/>
      </w:pPr>
      <w:r>
        <w:t xml:space="preserve">8. 交付与支持信息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资料</w:t>
            </w:r>
          </w:p>
        </w:tc>
        <w:tc>
          <w:tcPr>
            <w:tcW w:type="pct" w:w="6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用途</w:t>
            </w:r>
          </w:p>
        </w:tc>
      </w:tr>
      <w:tr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本产品介绍与软件控制说明</w:t>
            </w:r>
          </w:p>
        </w:tc>
        <w:tc>
          <w:tcPr>
            <w:tcW w:type="pct" w:w="6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产品页面、售前沟通、软件能力与安全边界说明。</w:t>
            </w:r>
          </w:p>
        </w:tc>
      </w:tr>
      <w:tr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OmicSolution Worker 与 OSIE0004 柱温箱控制使用说明</w:t>
            </w:r>
          </w:p>
        </w:tc>
        <w:tc>
          <w:tcPr>
            <w:tcW w:type="pct" w:w="6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首次安装、日常操作、告警、导出、故障排查和维护。</w:t>
            </w:r>
          </w:p>
        </w:tc>
      </w:tr>
      <w:tr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OSIE0004 铭牌与随货资料</w:t>
            </w:r>
          </w:p>
        </w:tc>
        <w:tc>
          <w:tcPr>
            <w:tcW w:type="pct" w:w="6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电源、尺寸、环境、校准、兼容性及硬件维护的权威来源。</w:t>
            </w:r>
          </w:p>
        </w:tc>
      </w:tr>
      <w:tr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售后工单</w:t>
            </w:r>
          </w:p>
        </w:tc>
        <w:tc>
          <w:tcPr>
            <w:tcW w:type="pct" w:w="6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选择易肽色谱柱及柱温箱 → 柱温箱 → OSIE0004，提交设备编号、日志、曲线和现场信息。</w:t>
            </w:r>
          </w:p>
        </w:tc>
      </w:tr>
    </w:tbl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D6E1E8" w:sz="4"/>
              <w:left w:val="single" w:color="147D72" w:sz="18"/>
              <w:bottom w:val="single" w:color="D6E1E8" w:sz="4"/>
              <w:right w:val="single" w:color="D6E1E8" w:sz="4"/>
            </w:tcBorders>
            <w:shd w:fill="EAF5F6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147D72"/>
                <w:sz w:val="21"/>
                <w:szCs w:val="21"/>
              </w:rPr>
              <w:t xml:space="preserve">版本说明</w:t>
            </w:r>
          </w:p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21"/>
                <w:szCs w:val="21"/>
              </w:rPr>
              <w:t xml:space="preserve">本文档描述 v260827_fix1 的柱温箱控制功能。后续版本如调整界面或策略，以软件内帮助、在线说明书和更新记录为准。</w:t>
            </w:r>
          </w:p>
        </w:tc>
      </w:tr>
    </w:tbl>
    <w:sectPr>
      <w:footerReference w:type="default" r:id="rId7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icrosoft YaHei" w:cs="Microsoft YaHei" w:eastAsia="Microsoft YaHei" w:hAnsi="Microsoft YaHei"/>
        <w:b w:val="false"/>
        <w:bCs w:val="false"/>
        <w:i w:val="false"/>
        <w:iCs w:val="false"/>
        <w:color w:val="5D6B78"/>
        <w:sz w:val="17"/>
        <w:szCs w:val="17"/>
      </w:rPr>
      <w:t xml:space="preserve">OSIE0004 产品介绍与软件控制说明  ·  </w:t>
    </w:r>
    <w:r>
      <w:rPr>
        <w:rFonts w:ascii="Microsoft YaHei" w:cs="Microsoft YaHei" w:eastAsia="Microsoft YaHei" w:hAnsi="Microsoft YaHei"/>
        <w:color w:val="5D6B78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60"/>
      </w:pPr>
    </w:lvl>
    <w:lvl w:ilvl="1" w15:tentative="1">
      <w:start w:val="1"/>
      <w:numFmt w:val="lowerLetter"/>
      <w:lvlText w:val="%2)"/>
      <w:lvlJc w:val="left"/>
      <w:pPr>
        <w:ind w:left="7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color w:val="17324D"/>
        <w:sz w:val="21"/>
        <w:szCs w:val="21"/>
      </w:rPr>
    </w:rPrDefault>
    <w:pPrDefault>
      <w:pPr>
        <w:spacing w:line="33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spacing w:after="150" w:before="320"/>
    </w:pPr>
    <w:rPr>
      <w:rFonts w:ascii="Microsoft YaHei" w:cs="Microsoft YaHei" w:eastAsia="Microsoft YaHei" w:hAnsi="Microsoft YaHei"/>
      <w:b/>
      <w:bCs/>
      <w:color w:val="17324D"/>
      <w:sz w:val="34"/>
      <w:szCs w:val="34"/>
    </w:rPr>
  </w:style>
  <w:style w:type="paragraph" w:styleId="Heading2">
    <w:name w:val="Heading 2"/>
    <w:basedOn w:val="Normal"/>
    <w:next w:val="Normal"/>
    <w:qFormat/>
    <w:pPr>
      <w:keepNext/>
      <w:spacing w:after="110" w:before="230"/>
    </w:pPr>
    <w:rPr>
      <w:rFonts w:ascii="Microsoft YaHei" w:cs="Microsoft YaHei" w:eastAsia="Microsoft YaHei" w:hAnsi="Microsoft YaHei"/>
      <w:b/>
      <w:bCs/>
      <w:color w:val="007F9E"/>
      <w:sz w:val="27"/>
      <w:szCs w:val="27"/>
    </w:rPr>
  </w:style>
  <w:style w:type="paragraph" w:styleId="Heading3">
    <w:name w:val="Heading 3"/>
    <w:basedOn w:val="Normal"/>
    <w:next w:val="Normal"/>
    <w:qFormat/>
    <w:pPr>
      <w:keepNext/>
      <w:spacing w:after="90" w:before="180"/>
    </w:pPr>
    <w:rPr>
      <w:rFonts w:ascii="Microsoft YaHei" w:cs="Microsoft YaHei" w:eastAsia="Microsoft YaHei" w:hAnsi="Microsoft YaHei"/>
      <w:b/>
      <w:bCs/>
      <w:color w:val="147D72"/>
      <w:sz w:val="23"/>
      <w:szCs w:val="23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d69d9d2cd3b96cc50d78071db48207e7f5e6db21.png"/><Relationship Id="rId9" Type="http://schemas.openxmlformats.org/officeDocument/2006/relationships/image" Target="media/31467285643d07f1d5017a0b37b949856383c570.png"/><Relationship Id="rId10" Type="http://schemas.openxmlformats.org/officeDocument/2006/relationships/image" Target="media/85cc52da8854982f45b4115bae9f085a61e7a234.png"/><Relationship Id="rId11" Type="http://schemas.openxmlformats.org/officeDocument/2006/relationships/image" Target="media/2aba9295feb2b4025469e48795ff33788a3077ef.png"/><Relationship Id="rId12" Type="http://schemas.openxmlformats.org/officeDocument/2006/relationships/image" Target="media/2449126fdc947134f075166f8554b201c96fbc0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2026-08-27T03:49:24.469Z</dcterms:created>
  <dcterms:modified xsi:type="dcterms:W3CDTF">2026-08-27T03:49:24.469Z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